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4"/>
          <w:szCs w:val="24"/>
          <w:color w:val="auto"/>
        </w:rPr>
      </w:pPr>
    </w:p>
    <w:p>
      <w:pPr>
        <w:ind w:left="540" w:right="400" w:hanging="532"/>
        <w:spacing w:after="0" w:line="262"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540" w:right="400" w:hanging="532"/>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2" w:lineRule="exact"/>
        <w:rPr>
          <w:sz w:val="24"/>
          <w:szCs w:val="24"/>
          <w:color w:val="auto"/>
        </w:rPr>
      </w:pPr>
    </w:p>
    <w:tbl>
      <w:tblPr>
        <w:tblLayout w:type="fixed"/>
        <w:tblInd w:w="2560" w:type="dxa"/>
        <w:tblCellMar>
          <w:top w:w="0" w:type="dxa"/>
          <w:left w:w="0" w:type="dxa"/>
          <w:bottom w:w="0" w:type="dxa"/>
          <w:right w:w="0" w:type="dxa"/>
        </w:tblCellMar>
      </w:tblPr>
      <w:tr>
        <w:trPr>
          <w:trHeight w:val="214"/>
        </w:trPr>
        <w:tc>
          <w:tcPr>
            <w:tcW w:w="5500" w:type="dxa"/>
            <w:vAlign w:val="bottom"/>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20" w:type="dxa"/>
            <w:vAlign w:val="bottom"/>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8"/>
              </w:rPr>
              <w:t>80-0743202</w:t>
            </w:r>
          </w:p>
        </w:tc>
      </w:tr>
      <w:tr>
        <w:trPr>
          <w:trHeight w:val="149"/>
        </w:trPr>
        <w:tc>
          <w:tcPr>
            <w:tcW w:w="5500" w:type="dxa"/>
            <w:vAlign w:val="bottom"/>
          </w:tcPr>
          <w:p>
            <w:pPr>
              <w:jc w:val="center"/>
              <w:ind w:right="35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2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500" w:type="dxa"/>
            <w:vAlign w:val="bottom"/>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20" w:type="dxa"/>
            <w:vAlign w:val="bottom"/>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5500" w:type="dxa"/>
            <w:vAlign w:val="bottom"/>
          </w:tcPr>
          <w:p>
            <w:pPr>
              <w:jc w:val="center"/>
              <w:ind w:left="740"/>
              <w:spacing w:after="0"/>
              <w:rPr>
                <w:sz w:val="20"/>
                <w:szCs w:val="20"/>
                <w:color w:val="auto"/>
              </w:rPr>
            </w:pPr>
            <w:r>
              <w:rPr>
                <w:rFonts w:ascii="Times New Roman" w:cs="Times New Roman" w:eastAsia="Times New Roman" w:hAnsi="Times New Roman"/>
                <w:sz w:val="18"/>
                <w:szCs w:val="18"/>
                <w:b w:val="1"/>
                <w:bCs w:val="1"/>
                <w:color w:val="auto"/>
                <w:w w:val="98"/>
              </w:rPr>
              <w:t>400 1</w:t>
            </w:r>
            <w:r>
              <w:rPr>
                <w:rFonts w:ascii="Times New Roman" w:cs="Times New Roman" w:eastAsia="Times New Roman" w:hAnsi="Times New Roman"/>
                <w:sz w:val="15"/>
                <w:szCs w:val="15"/>
                <w:b w:val="1"/>
                <w:bCs w:val="1"/>
                <w:color w:val="auto"/>
                <w:w w:val="98"/>
              </w:rPr>
              <w:t>st</w:t>
            </w:r>
            <w:r>
              <w:rPr>
                <w:rFonts w:ascii="Times New Roman" w:cs="Times New Roman" w:eastAsia="Times New Roman" w:hAnsi="Times New Roman"/>
                <w:sz w:val="18"/>
                <w:szCs w:val="18"/>
                <w:b w:val="1"/>
                <w:bCs w:val="1"/>
                <w:color w:val="auto"/>
                <w:w w:val="98"/>
              </w:rPr>
              <w:t xml:space="preserve"> Avenue</w:t>
            </w:r>
          </w:p>
        </w:tc>
        <w:tc>
          <w:tcPr>
            <w:tcW w:w="1820" w:type="dxa"/>
            <w:vAlign w:val="bottom"/>
          </w:tcPr>
          <w:p>
            <w:pPr>
              <w:spacing w:after="0"/>
              <w:rPr>
                <w:sz w:val="24"/>
                <w:szCs w:val="24"/>
                <w:color w:val="auto"/>
              </w:rPr>
            </w:pPr>
          </w:p>
        </w:tc>
      </w:tr>
      <w:tr>
        <w:trPr>
          <w:trHeight w:val="214"/>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Needham, MA 02494</w:t>
            </w:r>
          </w:p>
        </w:tc>
        <w:tc>
          <w:tcPr>
            <w:tcW w:w="1820" w:type="dxa"/>
            <w:vAlign w:val="bottom"/>
          </w:tcPr>
          <w:p>
            <w:pPr>
              <w:spacing w:after="0"/>
              <w:rPr>
                <w:sz w:val="18"/>
                <w:szCs w:val="18"/>
                <w:color w:val="auto"/>
              </w:rPr>
            </w:pPr>
          </w:p>
        </w:tc>
      </w:tr>
      <w:tr>
        <w:trPr>
          <w:trHeight w:val="190"/>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tc>
        <w:tc>
          <w:tcPr>
            <w:tcW w:w="1820" w:type="dxa"/>
            <w:vAlign w:val="bottom"/>
          </w:tcPr>
          <w:p>
            <w:pPr>
              <w:spacing w:after="0"/>
              <w:rPr>
                <w:sz w:val="16"/>
                <w:szCs w:val="16"/>
                <w:color w:val="auto"/>
              </w:rPr>
            </w:pPr>
          </w:p>
        </w:tc>
      </w:tr>
      <w:tr>
        <w:trPr>
          <w:trHeight w:val="390"/>
        </w:trPr>
        <w:tc>
          <w:tcPr>
            <w:tcW w:w="5500" w:type="dxa"/>
            <w:vAlign w:val="bottom"/>
          </w:tcPr>
          <w:p>
            <w:pPr>
              <w:jc w:val="center"/>
              <w:ind w:left="740"/>
              <w:spacing w:after="0"/>
              <w:rPr>
                <w:sz w:val="20"/>
                <w:szCs w:val="20"/>
                <w:color w:val="auto"/>
              </w:rPr>
            </w:pPr>
            <w:r>
              <w:rPr>
                <w:rFonts w:ascii="Times New Roman" w:cs="Times New Roman" w:eastAsia="Times New Roman" w:hAnsi="Times New Roman"/>
                <w:sz w:val="18"/>
                <w:szCs w:val="18"/>
                <w:b w:val="1"/>
                <w:bCs w:val="1"/>
                <w:color w:val="auto"/>
                <w:w w:val="99"/>
              </w:rPr>
              <w:t>(781) 800-5000</w:t>
            </w:r>
          </w:p>
        </w:tc>
        <w:tc>
          <w:tcPr>
            <w:tcW w:w="1820" w:type="dxa"/>
            <w:vAlign w:val="bottom"/>
          </w:tcPr>
          <w:p>
            <w:pPr>
              <w:spacing w:after="0"/>
              <w:rPr>
                <w:sz w:val="24"/>
                <w:szCs w:val="24"/>
                <w:color w:val="auto"/>
              </w:rPr>
            </w:pPr>
          </w:p>
        </w:tc>
      </w:tr>
      <w:tr>
        <w:trPr>
          <w:trHeight w:val="190"/>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323"/>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8"/>
                <w:szCs w:val="18"/>
                <w:b w:val="1"/>
                <w:bCs w:val="1"/>
                <w:color w:val="auto"/>
                <w:w w:val="99"/>
              </w:rPr>
              <w:t>141 Needham Street, Newton, MA 02464</w:t>
            </w:r>
          </w:p>
        </w:tc>
        <w:tc>
          <w:tcPr>
            <w:tcW w:w="1820" w:type="dxa"/>
            <w:vAlign w:val="bottom"/>
          </w:tcPr>
          <w:p>
            <w:pPr>
              <w:spacing w:after="0"/>
              <w:rPr>
                <w:sz w:val="24"/>
                <w:szCs w:val="24"/>
                <w:color w:val="auto"/>
              </w:rPr>
            </w:pPr>
          </w:p>
        </w:tc>
      </w:tr>
      <w:tr>
        <w:trPr>
          <w:trHeight w:val="149"/>
        </w:trPr>
        <w:tc>
          <w:tcPr>
            <w:tcW w:w="5500" w:type="dxa"/>
            <w:vAlign w:val="bottom"/>
          </w:tcPr>
          <w:p>
            <w:pPr>
              <w:jc w:val="cente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(Former name, former address and former fiscal year,</w:t>
            </w:r>
          </w:p>
        </w:tc>
        <w:tc>
          <w:tcPr>
            <w:tcW w:w="1820" w:type="dxa"/>
            <w:vAlign w:val="bottom"/>
          </w:tcPr>
          <w:p>
            <w:pPr>
              <w:spacing w:after="0"/>
              <w:rPr>
                <w:sz w:val="12"/>
                <w:szCs w:val="12"/>
                <w:color w:val="auto"/>
              </w:rPr>
            </w:pPr>
          </w:p>
        </w:tc>
      </w:tr>
      <w:tr>
        <w:trPr>
          <w:trHeight w:val="190"/>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if changed since last report)</w:t>
            </w:r>
          </w:p>
        </w:tc>
        <w:tc>
          <w:tcPr>
            <w:tcW w:w="1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1" w:lineRule="exact"/>
        <w:rPr>
          <w:sz w:val="24"/>
          <w:szCs w:val="24"/>
          <w:color w:val="auto"/>
        </w:rPr>
      </w:pPr>
    </w:p>
    <w:p>
      <w:pPr>
        <w:ind w:right="36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38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20" w:firstLine="518"/>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260" w:type="dxa"/>
            <w:vAlign w:val="bottom"/>
            <w:gridSpan w:val="3"/>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260" w:type="dxa"/>
            <w:vAlign w:val="bottom"/>
            <w:gridSpan w:val="3"/>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6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2820" w:type="dxa"/>
            <w:vAlign w:val="bottom"/>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Borders>
              <w:bottom w:val="single" w:sz="8" w:color="auto"/>
            </w:tcBorders>
          </w:tcPr>
          <w:p>
            <w:pPr>
              <w:spacing w:after="0"/>
              <w:rPr>
                <w:sz w:val="22"/>
                <w:szCs w:val="22"/>
                <w:color w:val="auto"/>
              </w:rPr>
            </w:pPr>
          </w:p>
        </w:tc>
        <w:tc>
          <w:tcPr>
            <w:tcW w:w="5480" w:type="dxa"/>
            <w:vAlign w:val="bottom"/>
            <w:tcBorders>
              <w:bottom w:val="single" w:sz="8" w:color="auto"/>
            </w:tcBorders>
          </w:tcPr>
          <w:p>
            <w:pPr>
              <w:jc w:val="center"/>
              <w:ind w:right="1614"/>
              <w:spacing w:after="0"/>
              <w:rPr>
                <w:sz w:val="20"/>
                <w:szCs w:val="20"/>
                <w:color w:val="auto"/>
              </w:rPr>
            </w:pPr>
            <w:r>
              <w:rPr>
                <w:rFonts w:ascii="Times New Roman" w:cs="Times New Roman" w:eastAsia="Times New Roman" w:hAnsi="Times New Roman"/>
                <w:sz w:val="14"/>
                <w:szCs w:val="14"/>
                <w:color w:val="auto"/>
                <w:w w:val="98"/>
              </w:rPr>
              <w:t>Class</w:t>
            </w:r>
          </w:p>
        </w:tc>
        <w:tc>
          <w:tcPr>
            <w:tcW w:w="780" w:type="dxa"/>
            <w:vAlign w:val="bottom"/>
            <w:gridSpan w:val="2"/>
          </w:tcPr>
          <w:p>
            <w:pPr>
              <w:spacing w:after="0"/>
              <w:rPr>
                <w:sz w:val="22"/>
                <w:szCs w:val="2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Outstanding Shares at July 21, 2015</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580" w:type="dxa"/>
            <w:vAlign w:val="bottom"/>
            <w:gridSpan w:val="2"/>
            <w:vMerge w:val="restart"/>
          </w:tcPr>
          <w:p>
            <w:pPr>
              <w:jc w:val="center"/>
              <w:ind w:right="17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00" w:type="dxa"/>
            <w:vAlign w:val="bottom"/>
          </w:tcPr>
          <w:p>
            <w:pPr>
              <w:spacing w:after="0"/>
              <w:rPr>
                <w:sz w:val="15"/>
                <w:szCs w:val="15"/>
                <w:color w:val="auto"/>
              </w:rPr>
            </w:pPr>
          </w:p>
        </w:tc>
        <w:tc>
          <w:tcPr>
            <w:tcW w:w="55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28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rPr>
              <w:t>131,296,364 shares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62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color w:val="auto"/>
              </w:rPr>
              <w:t>Class B common stock, $0.001 par value per share</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12,799,999 shares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auto"/>
            </w:tcBorders>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17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1040" w:type="dxa"/>
            <w:vAlign w:val="bottom"/>
            <w:gridSpan w:val="19"/>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Unaudited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80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Statements of Operations for the Three and Six Months Ended June 30, 2015 and 2014</w:t>
              </w:r>
            </w:hyperlink>
          </w:p>
        </w:tc>
        <w:tc>
          <w:tcPr>
            <w:tcW w:w="25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Comprehensive Income for the Three and Six Months Ended June 30, 2015 and 2014</w:t>
              </w:r>
            </w:hyperlink>
          </w:p>
        </w:tc>
        <w:tc>
          <w:tcPr>
            <w:tcW w:w="16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Balance Sheets at June 30, 2015 and December 31, 2014</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 of Changes in Stockholders’ Equity for the Six Months Ended June 30, 2015</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Unaudited Consolidated Statements of Cash Flows for the Six Months Ended June 30, 2015 and 2014</w:t>
              </w:r>
            </w:hyperlink>
          </w:p>
        </w:tc>
        <w:tc>
          <w:tcPr>
            <w:tcW w:w="740" w:type="dxa"/>
            <w:vAlign w:val="bottom"/>
            <w:tcBorders>
              <w:top w:val="single" w:sz="8" w:color="0000EE"/>
            </w:tcBorders>
            <w:gridSpan w:val="2"/>
          </w:tcPr>
          <w:p>
            <w:pPr>
              <w:spacing w:after="0"/>
              <w:rPr>
                <w:sz w:val="17"/>
                <w:szCs w:val="17"/>
                <w:color w:val="auto"/>
              </w:rPr>
            </w:pPr>
          </w:p>
        </w:tc>
        <w:tc>
          <w:tcPr>
            <w:tcW w:w="252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Consolidated Financial Statements</w:t>
              </w:r>
            </w:hyperlink>
          </w:p>
        </w:tc>
        <w:tc>
          <w:tcPr>
            <w:tcW w:w="66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1040" w:type="dxa"/>
            <w:vAlign w:val="bottom"/>
            <w:gridSpan w:val="19"/>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4. Controls and Procedures</w:t>
              </w:r>
            </w:hyperlink>
          </w:p>
        </w:tc>
        <w:tc>
          <w:tcPr>
            <w:tcW w:w="87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40">
              <w:r>
                <w:rPr>
                  <w:rFonts w:ascii="Times New Roman" w:cs="Times New Roman" w:eastAsia="Times New Roman" w:hAnsi="Times New Roman"/>
                  <w:sz w:val="18"/>
                  <w:szCs w:val="18"/>
                  <w:b w:val="1"/>
                  <w:bCs w:val="1"/>
                  <w:color w:val="0000EE"/>
                  <w:w w:val="99"/>
                </w:rPr>
                <w:t>Part II—Other Information</w:t>
              </w:r>
            </w:hyperlink>
          </w:p>
        </w:tc>
        <w:tc>
          <w:tcPr>
            <w:tcW w:w="88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1. Legal Proceedings</w:t>
              </w:r>
            </w:hyperlink>
          </w:p>
        </w:tc>
        <w:tc>
          <w:tcPr>
            <w:tcW w:w="91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1A. Risk Factors</w:t>
              </w:r>
            </w:hyperlink>
          </w:p>
        </w:tc>
        <w:tc>
          <w:tcPr>
            <w:tcW w:w="94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2. Unregistered Sales of Equity Securities and Use of Proceeds</w:t>
              </w:r>
            </w:hyperlink>
          </w:p>
        </w:tc>
        <w:tc>
          <w:tcPr>
            <w:tcW w:w="61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 Defaults Upon Senior Securities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tcPr>
          <w:p>
            <w:pPr>
              <w:spacing w:after="0"/>
              <w:rPr>
                <w:sz w:val="17"/>
                <w:szCs w:val="17"/>
                <w:color w:val="auto"/>
              </w:rPr>
            </w:pPr>
          </w:p>
        </w:tc>
        <w:tc>
          <w:tcPr>
            <w:tcW w:w="816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5. Other Information</w:t>
              </w:r>
            </w:hyperlink>
          </w:p>
        </w:tc>
        <w:tc>
          <w:tcPr>
            <w:tcW w:w="91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6. Exhibits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Signature</w:t>
              </w:r>
            </w:hyperlink>
          </w:p>
        </w:tc>
        <w:tc>
          <w:tcPr>
            <w:tcW w:w="460" w:type="dxa"/>
            <w:vAlign w:val="bottom"/>
            <w:tcBorders>
              <w:top w:val="single" w:sz="8" w:color="0000EE"/>
            </w:tcBorders>
          </w:tcPr>
          <w:p>
            <w:pPr>
              <w:spacing w:after="0"/>
              <w:rPr>
                <w:sz w:val="24"/>
                <w:szCs w:val="24"/>
                <w:color w:val="auto"/>
              </w:rPr>
            </w:pPr>
          </w:p>
        </w:tc>
        <w:tc>
          <w:tcPr>
            <w:tcW w:w="98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revenue (1)</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 and content (2)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stockholders (Note 14):</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0.48</w:t>
            </w:r>
          </w:p>
        </w:tc>
        <w:tc>
          <w:tcPr>
            <w:tcW w:w="22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0.47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14):</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Excludes amortization as follows:</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 included in amortization of intangible</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Amortization of website development costs included in depreciation</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Includes stock-based compensation as follows: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 and content</w:t>
            </w: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4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3"/>
                <w:szCs w:val="13"/>
                <w:color w:val="auto"/>
              </w:rPr>
            </w:pPr>
          </w:p>
        </w:tc>
        <w:tc>
          <w:tcPr>
            <w:tcW w:w="98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(1)</w:t>
            </w:r>
          </w:p>
        </w:tc>
        <w:tc>
          <w:tcPr>
            <w:tcW w:w="15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right="540" w:hanging="374"/>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adjustments exclude income taxes due to our practice and intention to indefinitely reinvest the earnings of our foreign subsidiaries in those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9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32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40" w:type="dxa"/>
            <w:vAlign w:val="bottom"/>
            <w:gridSpan w:val="2"/>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marketable securities (Note 5)</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$8 and $7 at June 30, 2015 and</w:t>
            </w: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December 31, 2014, respectively</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Taxes receivable</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marketable securities (Note 5)</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Property and equipment, net (Note 6)</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 net (Note 7)</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Goodwill (Note 7)</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Other long-term assets</w:t>
            </w:r>
          </w:p>
        </w:tc>
        <w:tc>
          <w:tcPr>
            <w:tcW w:w="9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94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debt (Note 8)</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 (Note 10)</w:t>
            </w:r>
          </w:p>
        </w:tc>
        <w:tc>
          <w:tcPr>
            <w:tcW w:w="9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long-term liabilities (Note 11)</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Long-term debt (Note 8)</w:t>
            </w:r>
          </w:p>
        </w:tc>
        <w:tc>
          <w:tcPr>
            <w:tcW w:w="9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133,472,351 and 132,315,465</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Shares outstanding: 131,278,178 and 130,121,292</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12,799,999 and 12,799,999</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stock-common stock, at cost, 2,194,173 and 2,194,173 shares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960" w:type="dxa"/>
            <w:vAlign w:val="bottom"/>
          </w:tcPr>
          <w:p>
            <w:pPr>
              <w:spacing w:after="0"/>
              <w:rPr>
                <w:sz w:val="17"/>
                <w:szCs w:val="17"/>
                <w:color w:val="auto"/>
              </w:rPr>
            </w:pPr>
          </w:p>
        </w:tc>
        <w:tc>
          <w:tcPr>
            <w:tcW w:w="98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number of shares)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1920" w:type="dxa"/>
            <w:vAlign w:val="bottom"/>
            <w:gridSpan w:val="2"/>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132,315,465</w:t>
            </w:r>
          </w:p>
        </w:tc>
        <w:tc>
          <w:tcPr>
            <w:tcW w:w="180" w:type="dxa"/>
            <w:vAlign w:val="bottom"/>
          </w:tcPr>
          <w:p>
            <w:pPr>
              <w:spacing w:after="0"/>
              <w:rPr>
                <w:sz w:val="20"/>
                <w:szCs w:val="20"/>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12,799,999</w:t>
            </w:r>
          </w:p>
        </w:tc>
        <w:tc>
          <w:tcPr>
            <w:tcW w:w="200" w:type="dxa"/>
            <w:vAlign w:val="bottom"/>
          </w:tcPr>
          <w:p>
            <w:pPr>
              <w:spacing w:after="0"/>
              <w:rPr>
                <w:sz w:val="20"/>
                <w:szCs w:val="20"/>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20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(2,194,173)</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1,156,886</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benefits on equity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net</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Minimum withholding</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net share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 of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133,472,351</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(2,194,173)</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40" w:type="dxa"/>
            <w:vAlign w:val="bottom"/>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60" w:type="dxa"/>
            <w:vAlign w:val="bottom"/>
          </w:tcPr>
          <w:p>
            <w:pPr>
              <w:spacing w:after="0"/>
              <w:rPr>
                <w:sz w:val="13"/>
                <w:szCs w:val="13"/>
                <w:color w:val="auto"/>
              </w:rPr>
            </w:pPr>
          </w:p>
        </w:tc>
        <w:tc>
          <w:tcPr>
            <w:tcW w:w="940" w:type="dxa"/>
            <w:vAlign w:val="bottom"/>
            <w:tcBorders>
              <w:top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7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0"/>
                <w:szCs w:val="20"/>
                <w:color w:val="auto"/>
              </w:rPr>
            </w:pPr>
          </w:p>
        </w:tc>
        <w:tc>
          <w:tcPr>
            <w:tcW w:w="102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of property and equipment, including amortization of internal-use software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website development</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net</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 including internal-use software and website development</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Chinese credit facilities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to Chinese credit facilities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facility, net of financing costs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minimum withholding taxes on net share settlements of equity awards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lease incentives related to construction financing obligation on build to suit lease</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construction financing obligation</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5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560" w:type="dxa"/>
            <w:vAlign w:val="bottom"/>
          </w:tcPr>
          <w:p>
            <w:pPr>
              <w:spacing w:after="0"/>
              <w:rPr>
                <w:sz w:val="22"/>
                <w:szCs w:val="22"/>
                <w:color w:val="auto"/>
              </w:rPr>
            </w:pP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Capitalization of construction in-process related to build to suit lease</w:t>
            </w:r>
          </w:p>
        </w:tc>
        <w:tc>
          <w:tcPr>
            <w:tcW w:w="150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 incurred but not yet paid primarily related to build to suit lease</w:t>
            </w:r>
          </w:p>
        </w:tc>
        <w:tc>
          <w:tcPr>
            <w:tcW w:w="150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102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Company,” “us,” “we” and “our” in these notes to the unaudited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40" w:firstLine="552"/>
        <w:spacing w:after="0" w:line="261" w:lineRule="auto"/>
        <w:rPr>
          <w:sz w:val="20"/>
          <w:szCs w:val="20"/>
          <w:color w:val="auto"/>
        </w:rPr>
      </w:pPr>
      <w:r>
        <w:rPr>
          <w:rFonts w:ascii="Times New Roman" w:cs="Times New Roman" w:eastAsia="Times New Roman" w:hAnsi="Times New Roman"/>
          <w:sz w:val="18"/>
          <w:szCs w:val="18"/>
          <w:color w:val="auto"/>
        </w:rPr>
        <w:t>TripAdvisor is an online travel company, empowering users to plan and book the perfect trip. TripAdvisor’s travel research platform aggregates reviews and opinions of members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80" w:lineRule="exact"/>
        <w:rPr>
          <w:sz w:val="20"/>
          <w:szCs w:val="20"/>
          <w:color w:val="auto"/>
        </w:rPr>
      </w:pPr>
    </w:p>
    <w:p>
      <w:pPr>
        <w:ind w:firstLine="548"/>
        <w:spacing w:after="0" w:line="255" w:lineRule="auto"/>
        <w:rPr>
          <w:sz w:val="20"/>
          <w:szCs w:val="20"/>
          <w:color w:val="auto"/>
        </w:rPr>
      </w:pPr>
      <w:r>
        <w:rPr>
          <w:rFonts w:ascii="Times New Roman" w:cs="Times New Roman" w:eastAsia="Times New Roman" w:hAnsi="Times New Roman"/>
          <w:sz w:val="18"/>
          <w:szCs w:val="18"/>
          <w:color w:val="auto"/>
        </w:rPr>
        <w:t>Our flagship brand is TripAdvisor. TripAdvisor-branded websites include tripadvisor.com in the United States and localized versions of the website in 45 countries worldwide. In addition to the flagship TripAdvisor brand, we manage and operate 24 other media brands, connected by the common goal of providing comprehensive travel planning resources across the travel sector, which include: www.airfarewatchdog.com, www.bookingbuddy.com, www.cruisecritic.com, www.everytrail.com, www.familyvacationcritic.com, www.flipkey.com, www.thefork.com (including www.lafourchette.com, www.eltenedor.com, www.iens.nl, www.besttables.com, and www.dimmi.com.au), www.gateguru.com, www.holidaylettings.co.uk, www.holidaywatchdog.com, www.independenttraveler.com, www.jetsetter.com, www.niumba.com, www.onetime.com, www.oyster.com, www.seatguru.com, www.smartertravel.com, www.tingo.com, www.travelpod.com, www.tripbod.com, www.vacationhomerentals.com, www.viator.com, www.virtualtourist.com, and www.kuxun.cn.</w:t>
      </w:r>
    </w:p>
    <w:p>
      <w:pPr>
        <w:spacing w:after="0" w:line="185" w:lineRule="exact"/>
        <w:rPr>
          <w:sz w:val="20"/>
          <w:szCs w:val="20"/>
          <w:color w:val="auto"/>
        </w:rPr>
      </w:pPr>
    </w:p>
    <w:p>
      <w:pPr>
        <w:ind w:right="20" w:firstLine="548"/>
        <w:spacing w:after="0" w:line="258"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transaction revenue from selling room nights through our Jetsetter and Tingo brands; selling destination activities, primarily through Viator; fulfilling online restaurant reservations, primarily through Lafourchette; as well as other revenue including content licensing.</w:t>
      </w:r>
    </w:p>
    <w:p>
      <w:pPr>
        <w:spacing w:after="0" w:line="184" w:lineRule="exact"/>
        <w:rPr>
          <w:sz w:val="20"/>
          <w:szCs w:val="20"/>
          <w:color w:val="auto"/>
        </w:rPr>
      </w:pPr>
    </w:p>
    <w:p>
      <w:pPr>
        <w:ind w:right="20" w:firstLine="548"/>
        <w:spacing w:after="0" w:line="258" w:lineRule="auto"/>
        <w:rPr>
          <w:sz w:val="20"/>
          <w:szCs w:val="20"/>
          <w:color w:val="auto"/>
        </w:rPr>
      </w:pPr>
      <w:r>
        <w:rPr>
          <w:rFonts w:ascii="Times New Roman" w:cs="Times New Roman" w:eastAsia="Times New Roman" w:hAnsi="Times New Roman"/>
          <w:sz w:val="18"/>
          <w:szCs w:val="18"/>
          <w:color w:val="auto"/>
        </w:rPr>
        <w:t>We have two reportable segments: Hotel and Other. Our Other segment consists of the aggregation of three operating segments: our Attractions, Restaurants and Vacation Rentals businesses. 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 For further information on our reportable segments see “Note 13 — Segment Information,” in these notes to our unaudited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18"/>
        <w:spacing w:after="0" w:line="289" w:lineRule="auto"/>
        <w:rPr>
          <w:sz w:val="20"/>
          <w:szCs w:val="20"/>
          <w:color w:val="auto"/>
        </w:rPr>
      </w:pPr>
      <w:r>
        <w:rPr>
          <w:rFonts w:ascii="Times New Roman" w:cs="Times New Roman" w:eastAsia="Times New Roman" w:hAnsi="Times New Roman"/>
          <w:sz w:val="17"/>
          <w:szCs w:val="17"/>
          <w:color w:val="auto"/>
        </w:rPr>
        <w:t>The accompanying unaudited financial statements present our results of operations, financial position and cash flows on a consolidated basis. The accompanying unaudited consolidated financial statements include TripAdvisor, our wholly-owned subsidiaries, and entities we control, or in which we have a variable interest and are the primary beneficiary of expected cash profits or losses. We have eliminated significant intercompany transactions and accounts.</w:t>
      </w:r>
    </w:p>
    <w:p>
      <w:pPr>
        <w:spacing w:after="0" w:line="15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in accordance with accounting principles generally accepted in the United States (“GAAP”). We have included all adjustments necessary for a fair presentation of the results of the interim period. These adjustments consist of normal recurring items. We prepared the unaudited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consolidated financial statements are not necessarily indicative of results that may be expected for any other interim period or for the full year. These interim unaudited consolidated financial statements should be read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ind w:right="960"/>
        <w:spacing w:after="0" w:line="282" w:lineRule="auto"/>
        <w:rPr>
          <w:sz w:val="20"/>
          <w:szCs w:val="20"/>
          <w:color w:val="auto"/>
        </w:rPr>
      </w:pPr>
      <w:r>
        <w:rPr>
          <w:rFonts w:ascii="Times New Roman" w:cs="Times New Roman" w:eastAsia="Times New Roman" w:hAnsi="Times New Roman"/>
          <w:sz w:val="18"/>
          <w:szCs w:val="18"/>
          <w:color w:val="auto"/>
        </w:rPr>
        <w:t>conjunction with the audited consolidated financial statements and related notes included in our Annual Report on Form 10-K for the year ended December 31, 2014, previously filed with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100" w:firstLine="552"/>
        <w:spacing w:after="0" w:line="266" w:lineRule="auto"/>
        <w:rPr>
          <w:sz w:val="20"/>
          <w:szCs w:val="20"/>
          <w:color w:val="auto"/>
        </w:rPr>
      </w:pPr>
      <w:r>
        <w:rPr>
          <w:rFonts w:ascii="Times New Roman" w:cs="Times New Roman" w:eastAsia="Times New Roman" w:hAnsi="Times New Roman"/>
          <w:sz w:val="18"/>
          <w:szCs w:val="18"/>
          <w:color w:val="auto"/>
        </w:rPr>
        <w:t>Pursuant to our disclosure in “Note 16— Segment and Geographic Information” in the notes to our consolidated financial statements in Item 8 of our Annual Report on Form 10-K for the year ended December 31, 2014, management revised our reportable segments. All prior period disclosures have been reclassified to conform to the current reporting structure. These reclassifications had no effect on our unaudited consolidated financial statements.</w:t>
      </w:r>
    </w:p>
    <w:p>
      <w:pPr>
        <w:spacing w:after="0" w:line="176" w:lineRule="exact"/>
        <w:rPr>
          <w:sz w:val="20"/>
          <w:szCs w:val="20"/>
          <w:color w:val="auto"/>
        </w:rPr>
      </w:pPr>
    </w:p>
    <w:p>
      <w:pPr>
        <w:ind w:right="100" w:firstLine="552"/>
        <w:spacing w:after="0" w:line="282" w:lineRule="auto"/>
        <w:rPr>
          <w:sz w:val="20"/>
          <w:szCs w:val="20"/>
          <w:color w:val="auto"/>
        </w:rPr>
      </w:pPr>
      <w:r>
        <w:rPr>
          <w:rFonts w:ascii="Times New Roman" w:cs="Times New Roman" w:eastAsia="Times New Roman" w:hAnsi="Times New Roman"/>
          <w:sz w:val="18"/>
          <w:szCs w:val="18"/>
          <w:color w:val="auto"/>
        </w:rPr>
        <w:t>In addition, refer to our discussion in “Note 2— Significant Accounting Policies” below for a required prior period reclassification resulting from the adoption of new accounting guidance.</w:t>
      </w:r>
    </w:p>
    <w:p>
      <w:pPr>
        <w:spacing w:after="0" w:line="162" w:lineRule="exact"/>
        <w:rPr>
          <w:sz w:val="20"/>
          <w:szCs w:val="20"/>
          <w:color w:val="auto"/>
        </w:rPr>
      </w:pPr>
    </w:p>
    <w:p>
      <w:pPr>
        <w:ind w:right="500" w:firstLine="552"/>
        <w:spacing w:after="0" w:line="282" w:lineRule="auto"/>
        <w:rPr>
          <w:sz w:val="20"/>
          <w:szCs w:val="20"/>
          <w:color w:val="auto"/>
        </w:rPr>
      </w:pPr>
      <w:r>
        <w:rPr>
          <w:rFonts w:ascii="Times New Roman" w:cs="Times New Roman" w:eastAsia="Times New Roman" w:hAnsi="Times New Roman"/>
          <w:sz w:val="18"/>
          <w:szCs w:val="18"/>
          <w:color w:val="auto"/>
        </w:rPr>
        <w:t>All other reclassifications made to conform the prior period to the current presentation were not material and had no net effect on our unaudited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use estimates and assumptions in the preparation of our unaudited consolidated financial statements in accordance with GAAP. Our estimates and assumptions affect the reported amounts of assets and liabilities and disclosure of contingent assets and liabilities as of the date of our unaudited consolidated financial statements. These estimates and assumptions also affect the reported amount of net income or loss during any period. Our actual financial results could differ significantly from these estimates. The significant estimates underlying our unaudited consolidated financial statements include: (i) recoverability of intangible assets and goodwill, (ii) recoverability and useful life of long-lived assets, (iii) accounting for income taxes, (iv) purchase accounting for business combinations and (v) stock-based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In April 2015, the FASB issued new accounting guidance which requires debt issuance costs related to a recognized debt liability be presented in the balance sheet as a direct deduction from the carrying amount of the related debt liability instead of being presented as an asset. Debt disclosures will include the face amount of the debt liability and the effective interest rate. The updated guidance will be applied on a retrospective basis. This guidance is effective for fiscal years, and the interim periods within those fiscal years, beginning after December 15, 2015, with early application permitted. The Company has early adopted this guidance during the three months ended June 30, 2015. The retrospective application of this guidance decreased “Other long-term assets” and “Long-term debt” by $1 million on the consolidated balance sheet as of December 31, 2014. Refer to “Note 8— Debt” below for the current year presentation.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new accounting guidance on revenue from contracts with customers. The new guidance requires an entity to recognize the amount of revenue to which it expects to be entitled for the transfer of promised goods or services to customers.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we are currently evaluating the effect that the updated standard will have on our consolidated financial statements or related disclosures.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since December 31, 2014. For additional information about our critical accounting policies and estimates, refer to “Note 2— Significant Accounting Policies”, in the notes to our consolidated financial statements in Item 8 of our Annual Report on Form 10-K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9" w:lineRule="exact"/>
        <w:rPr>
          <w:sz w:val="20"/>
          <w:szCs w:val="20"/>
          <w:color w:val="auto"/>
        </w:rPr>
      </w:pPr>
    </w:p>
    <w:p>
      <w:pPr>
        <w:ind w:firstLine="553"/>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2015, we completed three acquisitions for a total purchase price consideration of $28 million. The cash consideration was paid primarily from our international subsidiaries. We acquired 100% of the outstanding shares of capital stock for the following companies: ZeTrip, a personal journal app that helps users log activities, including places they have visited and photos they have taken, purchased in January 2015; BestTables, a provider of an online and mobile reservations platform for restaurants in Portugal and Brazil, purchased in March 2015; and Dimmi, a provider of an online and mobile reservations platform for restaurants in Australia, purchased in May 2015.</w:t>
      </w:r>
    </w:p>
    <w:p>
      <w:pPr>
        <w:spacing w:after="0" w:line="184" w:lineRule="exact"/>
        <w:rPr>
          <w:sz w:val="20"/>
          <w:szCs w:val="20"/>
          <w:color w:val="auto"/>
        </w:rPr>
      </w:pPr>
    </w:p>
    <w:p>
      <w:pPr>
        <w:ind w:right="40" w:firstLine="553"/>
        <w:spacing w:after="0" w:line="254" w:lineRule="auto"/>
        <w:rPr>
          <w:sz w:val="20"/>
          <w:szCs w:val="20"/>
          <w:color w:val="auto"/>
        </w:rPr>
      </w:pPr>
      <w:r>
        <w:rPr>
          <w:rFonts w:ascii="Times New Roman" w:cs="Times New Roman" w:eastAsia="Times New Roman" w:hAnsi="Times New Roman"/>
          <w:sz w:val="18"/>
          <w:szCs w:val="18"/>
          <w:color w:val="auto"/>
        </w:rPr>
        <w:t>These business combinations were accounted for as purchases of businesses under the acquisition method. The fair value of purchase consideration has been allocated to tangible and identifiable intangible assets acquired and liabilities assumed, based on their respective fair values on the acquisition date, with the remaining amount recorded to goodwill. Acquired goodwill represents the premium we paid over the fair value of the net tangible and intangible assets acquired. We paid a premium in these transactions for a number of reasons, but, primarily it was attributable to expected operational synergies, the assembled workforces, and the future development initiatives of the assembled workforces. The results of each of these acquired businesses have been included in the unaudited consolidated financial statements beginning on the respective acquisition dates. Pro-forma results of operations for all of these acquisitions have not been presented as the financial impact to our unaudited consolidated financial statements, both individually and in aggregate, are not material. During the six months ended June 30, 2015, acquisition-related costs were expensed as incurred and were $1 million and are included in general and administrative expenses on our unaudited consolidated statements of operations.</w:t>
      </w:r>
    </w:p>
    <w:p>
      <w:pPr>
        <w:spacing w:after="0" w:line="189" w:lineRule="exact"/>
        <w:rPr>
          <w:sz w:val="20"/>
          <w:szCs w:val="20"/>
          <w:color w:val="auto"/>
        </w:rPr>
      </w:pPr>
    </w:p>
    <w:p>
      <w:pPr>
        <w:ind w:right="80" w:firstLine="553"/>
        <w:spacing w:after="0" w:line="258" w:lineRule="auto"/>
        <w:rPr>
          <w:sz w:val="20"/>
          <w:szCs w:val="20"/>
          <w:color w:val="auto"/>
        </w:rPr>
      </w:pPr>
      <w:r>
        <w:rPr>
          <w:rFonts w:ascii="Times New Roman" w:cs="Times New Roman" w:eastAsia="Times New Roman" w:hAnsi="Times New Roman"/>
          <w:sz w:val="18"/>
          <w:szCs w:val="18"/>
          <w:color w:val="auto"/>
        </w:rPr>
        <w:t>The purchase price allocation of our 2015 acquisitions is preliminary and subject to revision as more information becomes available, but in any case will not be revised beyond twelve months after the acquisition date and any change to the fair value of assets acquired or liabilities assumed will lead to a corresponding change to the purchase price allocable to goodwill on a retroactive basis. The primary areas of the purchase price allocation that are not yet finalized are related to the fair values of intangibles assets and net assets for Dimmi and income tax-related balances for all 2015 acquisitions. Acquired goodwill related to our 2015 acquisitions was primarily allocated to our Other segment and was not deductible for tax purposes.</w:t>
      </w:r>
    </w:p>
    <w:p>
      <w:pPr>
        <w:spacing w:after="0" w:line="184" w:lineRule="exact"/>
        <w:rPr>
          <w:sz w:val="20"/>
          <w:szCs w:val="20"/>
          <w:color w:val="auto"/>
        </w:rPr>
      </w:pPr>
    </w:p>
    <w:p>
      <w:pPr>
        <w:ind w:right="260" w:firstLine="5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purchase price allocations initially recorded on our unaudited consolidated balance sheet on June 30, 2015 for all 2015 acquisitions (in millions):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7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746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purchase price consideration (2)</w:t>
            </w: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right="1800" w:hanging="492"/>
        <w:spacing w:after="0" w:line="25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acquired during 2015 were comprised of trade names of $3 million with a weighted average life of 9.9 years, customer lists and supplier relationships of $7 million with a weighted average life of 6.0 years and technology and other of $2 million with a weighted average life of 2.6 years. The overall weighted-average life of the identifiable definite-lived intangible assets acquired in the purchase of the companies during 2015 was 6.2 years, and will be amortized on a straight-line basis over their estimated useful lives from acquisition date.</w:t>
      </w:r>
    </w:p>
    <w:p>
      <w:pPr>
        <w:spacing w:after="0" w:line="3" w:lineRule="exact"/>
        <w:rPr>
          <w:rFonts w:ascii="Times New Roman" w:cs="Times New Roman" w:eastAsia="Times New Roman" w:hAnsi="Times New Roman"/>
          <w:sz w:val="18"/>
          <w:szCs w:val="18"/>
          <w:color w:val="auto"/>
        </w:rPr>
      </w:pPr>
    </w:p>
    <w:p>
      <w:pPr>
        <w:ind w:left="500" w:right="1840" w:hanging="492"/>
        <w:spacing w:after="0" w:line="313"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based on (i) final working capital adjustment calculations to be determined for BestTables and Dimmi, and (ii) indemnification obligations for general representations and warranties of the acquired company stockholders.</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10" w:name="page11"/>
    <w:bookmarkEnd w:id="10"/>
    <w:p>
      <w:pPr>
        <w:ind w:right="52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4: STOCK BASED AWARDS AND OTHER EQUITY INSTRUMENTS </w:t>
      </w:r>
      <w:r>
        <w:rPr>
          <w:rFonts w:ascii="Times New Roman" w:cs="Times New Roman" w:eastAsia="Times New Roman" w:hAnsi="Times New Roman"/>
          <w:sz w:val="18"/>
          <w:szCs w:val="18"/>
          <w:b w:val="1"/>
          <w:bCs w:val="1"/>
          <w:i w:val="1"/>
          <w:iCs w:val="1"/>
          <w:color w:val="auto"/>
        </w:rPr>
        <w:t>Stock-Based Compensation Expense</w:t>
      </w: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related to stock-based awards, primarily stock options and restricted stock units (“RSUs”), on our unaudited consolidated statements of operations during the periods presented:</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4"/>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center"/>
              <w:ind w:left="14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5"/>
          </w:tcPr>
          <w:p>
            <w:pPr>
              <w:jc w:val="center"/>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780" w:type="dxa"/>
            <w:vAlign w:val="bottom"/>
            <w:gridSpan w:val="2"/>
            <w:shd w:val="clear" w:color="auto" w:fill="CFF0FC"/>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content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stock-based compensation</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net of tax effect</w:t>
            </w: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 Activity and Valuation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Stock Option Activity</w:t>
      </w:r>
    </w:p>
    <w:p>
      <w:pPr>
        <w:spacing w:after="0" w:line="119" w:lineRule="exact"/>
        <w:rPr>
          <w:sz w:val="20"/>
          <w:szCs w:val="20"/>
          <w:color w:val="auto"/>
        </w:rPr>
      </w:pPr>
    </w:p>
    <w:p>
      <w:pPr>
        <w:jc w:val="both"/>
        <w:ind w:right="480" w:firstLine="51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2015, we issued 378,606 service-based non-qualified stock options under the Company’s 2011 Stock and Annual Incentive Plan, as amended (the “2011 Incentive Plan”). These stock options have a term of ten years from the date of grant and generally vest equitably over a four-year requisite service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status and activity for stock option awards relating to our common stock for the six months ended June 30, 2015, is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January 1, 2015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 (1)</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(2,645)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June 30, 2015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2015</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after June 30, 2015</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60" w:hanging="334"/>
        <w:spacing w:after="0" w:line="258"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1,706,170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40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closing stock price of our common stock and the exercise price of outstanding, in-the-money options. Our closing stock price as reported on The NASDAQ Global Select Market as of June 30, 2015 was $87.14. The total intrinsic value of stock options exercised for the six months ended June 30, 2015 and 2014 was $122 million and $51 million, respectively.</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84" w:right="319" w:bottom="1440" w:gutter="0" w:footer="0" w:header="0"/>
        </w:sectPr>
      </w:pPr>
    </w:p>
    <w:bookmarkStart w:id="11" w:name="page12"/>
    <w:bookmarkEnd w:id="11"/>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63"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240" w:type="dxa"/>
            <w:vAlign w:val="bottom"/>
          </w:tcPr>
          <w:p>
            <w:pPr>
              <w:spacing w:after="0"/>
              <w:rPr>
                <w:sz w:val="15"/>
                <w:szCs w:val="15"/>
                <w:color w:val="auto"/>
              </w:rPr>
            </w:pPr>
          </w:p>
        </w:tc>
        <w:tc>
          <w:tcPr>
            <w:tcW w:w="106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32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ind w:right="11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11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40.66%</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47.32%</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41.83%</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48.07%</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grant date fair value of options granted was $33.68 and $47.25 for the six months ended June 30, 2015 and 2014,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stock options vested for the six months ended June 30, 2015 and 2014 was $26 million and $24 million, respectively.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RSU Activity</w:t>
      </w:r>
    </w:p>
    <w:p>
      <w:pPr>
        <w:spacing w:after="0" w:line="11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2015, we issued 606,471 RSUs under the 2011 Incentive Plan for which the fair value was measured based on the quoted price of our common stock on the date of grant. These RSUs generally vest over a four-year requisite service period.</w:t>
      </w: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RSU activity during the six months ended June 30, 2015: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616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3"/>
        </w:trPr>
        <w:tc>
          <w:tcPr>
            <w:tcW w:w="616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6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56"/>
        </w:trPr>
        <w:tc>
          <w:tcPr>
            <w:tcW w:w="616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0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January 1, 2015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 (1)</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June 30, 2015</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860" w:right="140" w:hanging="334"/>
        <w:spacing w:after="0" w:line="261"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99,976 RSUs withheld to satisfy employee minimum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 summary of our remaining unrecognized stock-based compensation expense, net of estimated forfeitures, and the weighted average remaining amortization period at June 30, 2015 related to our non-vested stock options and RSU awards is presented below (in millions, except per year information):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3"/>
        </w:trPr>
        <w:tc>
          <w:tcPr>
            <w:tcW w:w="17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compensation expense (net of forfeitures)</w:t>
            </w:r>
          </w:p>
        </w:tc>
        <w:tc>
          <w:tcPr>
            <w:tcW w:w="1000" w:type="dxa"/>
            <w:vAlign w:val="bottom"/>
            <w:tcBorders>
              <w:top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period remaining (in years)</w:t>
            </w:r>
          </w:p>
        </w:tc>
        <w:tc>
          <w:tcPr>
            <w:tcW w:w="10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765"/>
        </w:trPr>
        <w:tc>
          <w:tcPr>
            <w:tcW w:w="67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5: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right="160" w:firstLine="518"/>
        <w:spacing w:after="0" w:line="313" w:lineRule="auto"/>
        <w:rPr>
          <w:sz w:val="20"/>
          <w:szCs w:val="20"/>
          <w:color w:val="auto"/>
        </w:rPr>
      </w:pPr>
      <w:r>
        <w:rPr>
          <w:rFonts w:ascii="Times New Roman" w:cs="Times New Roman" w:eastAsia="Times New Roman" w:hAnsi="Times New Roman"/>
          <w:sz w:val="17"/>
          <w:szCs w:val="17"/>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7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June 30, 2015.</w:t>
      </w:r>
    </w:p>
    <w:p>
      <w:pPr>
        <w:spacing w:after="0" w:line="176"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was derived from quoted prices in active markets for identical assets or liabilities. Fair values for Level 2 investments are considered “Level 2” valuations because they are obtained from independent pricing sources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3" w:name="page14"/>
    <w:bookmarkEnd w:id="13"/>
    <w:p>
      <w:pPr>
        <w:ind w:right="340"/>
        <w:spacing w:after="0" w:line="266" w:lineRule="auto"/>
        <w:rPr>
          <w:sz w:val="20"/>
          <w:szCs w:val="20"/>
          <w:color w:val="auto"/>
        </w:rPr>
      </w:pPr>
      <w:r>
        <w:rPr>
          <w:rFonts w:ascii="Times New Roman" w:cs="Times New Roman" w:eastAsia="Times New Roman" w:hAnsi="Times New Roman"/>
          <w:sz w:val="18"/>
          <w:szCs w:val="18"/>
          <w:color w:val="auto"/>
        </w:rPr>
        <w:t>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There were no material realized gains or losses related to sales of our marketable securities for the three and six months ended June 30, 2015 and 2014, respectively. We consider any individual investments in an unrealized loss position to be temporary in nature and do not consider any of our investments other-than-temporarily impaired.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60" w:firstLine="552"/>
        <w:spacing w:after="0" w:line="261" w:lineRule="auto"/>
        <w:rPr>
          <w:sz w:val="20"/>
          <w:szCs w:val="20"/>
          <w:color w:val="auto"/>
        </w:rPr>
      </w:pPr>
      <w:r>
        <w:rPr>
          <w:rFonts w:ascii="Times New Roman" w:cs="Times New Roman" w:eastAsia="Times New Roman" w:hAnsi="Times New Roman"/>
          <w:sz w:val="18"/>
          <w:szCs w:val="18"/>
          <w:color w:val="auto"/>
        </w:rPr>
        <w:t>Our current forward contracts are not designated as hedges and have current maturities of less than 90 days. Consequently, any gain or loss resulting from the change in fair value was recognized in our unaudited consolidated statement of operations. We recorded a net loss of $1 million and a net gain of $2 million for the three and six months ended June 30, 2015, respectively, related to our settled and outstanding forward contracts in our unaudited consolidated statement of operations in “Other, net.” All gains and losses for the three and six months ended June 30, 2014 were not material.</w:t>
      </w:r>
    </w:p>
    <w:p>
      <w:pPr>
        <w:spacing w:after="0" w:line="180"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and notional principal amounts of our outstanding derivative instruments that are not designated as hedging instruments for the periods presented:</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620" w:type="dxa"/>
            <w:vAlign w:val="bottom"/>
          </w:tcPr>
          <w:p>
            <w:pPr>
              <w:spacing w:after="0"/>
              <w:rPr>
                <w:sz w:val="15"/>
                <w:szCs w:val="15"/>
                <w:color w:val="auto"/>
              </w:rPr>
            </w:pPr>
          </w:p>
        </w:tc>
        <w:tc>
          <w:tcPr>
            <w:tcW w:w="1680" w:type="dxa"/>
            <w:vAlign w:val="bottom"/>
            <w:tcBorders>
              <w:bottom w:val="single" w:sz="8" w:color="auto"/>
            </w:tcBorders>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of Derivative (2)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2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6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exchange-forward contracts (1)</w:t>
            </w:r>
          </w:p>
        </w:tc>
        <w:tc>
          <w:tcPr>
            <w:tcW w:w="2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122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620" w:type="dxa"/>
            <w:vAlign w:val="bottom"/>
          </w:tcPr>
          <w:p>
            <w:pPr>
              <w:spacing w:after="0"/>
              <w:rPr>
                <w:sz w:val="24"/>
                <w:szCs w:val="24"/>
                <w:color w:val="auto"/>
              </w:rPr>
            </w:pPr>
          </w:p>
        </w:tc>
        <w:tc>
          <w:tcPr>
            <w:tcW w:w="1680" w:type="dxa"/>
            <w:vAlign w:val="bottom"/>
            <w:tcBorders>
              <w:bottom w:val="single" w:sz="8" w:color="auto"/>
            </w:tcBorders>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of Derivative (2)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0" w:type="dxa"/>
            <w:vAlign w:val="bottom"/>
            <w:shd w:val="clear" w:color="auto" w:fill="CFF2FF"/>
          </w:tcPr>
          <w:p>
            <w:pPr>
              <w:spacing w:after="0"/>
              <w:rPr>
                <w:sz w:val="18"/>
                <w:szCs w:val="18"/>
                <w:color w:val="auto"/>
              </w:rPr>
            </w:pPr>
          </w:p>
        </w:tc>
        <w:tc>
          <w:tcPr>
            <w:tcW w:w="2800" w:type="dxa"/>
            <w:vAlign w:val="bottom"/>
            <w:shd w:val="clear" w:color="auto" w:fill="CFF2FF"/>
          </w:tcPr>
          <w:p>
            <w:pPr>
              <w:jc w:val="center"/>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620" w:type="dxa"/>
            <w:vAlign w:val="bottom"/>
            <w:shd w:val="clear" w:color="auto" w:fill="CFF2FF"/>
          </w:tcPr>
          <w:p>
            <w:pPr>
              <w:spacing w:after="0"/>
              <w:rPr>
                <w:sz w:val="18"/>
                <w:szCs w:val="18"/>
                <w:color w:val="auto"/>
              </w:rPr>
            </w:pPr>
          </w:p>
        </w:tc>
        <w:tc>
          <w:tcPr>
            <w:tcW w:w="600" w:type="dxa"/>
            <w:vAlign w:val="bottom"/>
            <w:shd w:val="clear" w:color="auto" w:fill="CFF2FF"/>
          </w:tcPr>
          <w:p>
            <w:pPr>
              <w:spacing w:after="0"/>
              <w:rPr>
                <w:sz w:val="18"/>
                <w:szCs w:val="18"/>
                <w:color w:val="auto"/>
              </w:rPr>
            </w:pPr>
          </w:p>
        </w:tc>
        <w:tc>
          <w:tcPr>
            <w:tcW w:w="220" w:type="dxa"/>
            <w:vAlign w:val="bottom"/>
            <w:shd w:val="clear" w:color="auto" w:fill="CFF2FF"/>
          </w:tcPr>
          <w:p>
            <w:pPr>
              <w:spacing w:after="0"/>
              <w:rPr>
                <w:sz w:val="18"/>
                <w:szCs w:val="18"/>
                <w:color w:val="auto"/>
              </w:rPr>
            </w:pPr>
          </w:p>
        </w:tc>
        <w:tc>
          <w:tcPr>
            <w:tcW w:w="180" w:type="dxa"/>
            <w:vAlign w:val="bottom"/>
            <w:shd w:val="clear" w:color="auto" w:fill="CFF2FF"/>
          </w:tcPr>
          <w:p>
            <w:pPr>
              <w:spacing w:after="0"/>
              <w:rPr>
                <w:sz w:val="18"/>
                <w:szCs w:val="18"/>
                <w:color w:val="auto"/>
              </w:rPr>
            </w:pPr>
          </w:p>
        </w:tc>
        <w:tc>
          <w:tcPr>
            <w:tcW w:w="680" w:type="dxa"/>
            <w:vAlign w:val="bottom"/>
            <w:shd w:val="clear" w:color="auto" w:fill="CFF2FF"/>
          </w:tcPr>
          <w:p>
            <w:pPr>
              <w:spacing w:after="0"/>
              <w:rPr>
                <w:sz w:val="18"/>
                <w:szCs w:val="18"/>
                <w:color w:val="auto"/>
              </w:rPr>
            </w:pPr>
          </w:p>
        </w:tc>
        <w:tc>
          <w:tcPr>
            <w:tcW w:w="140" w:type="dxa"/>
            <w:vAlign w:val="bottom"/>
            <w:shd w:val="clear" w:color="auto" w:fill="CFF2FF"/>
          </w:tcPr>
          <w:p>
            <w:pPr>
              <w:spacing w:after="0"/>
              <w:rPr>
                <w:sz w:val="18"/>
                <w:szCs w:val="18"/>
                <w:color w:val="auto"/>
              </w:rPr>
            </w:pPr>
          </w:p>
        </w:tc>
        <w:tc>
          <w:tcPr>
            <w:tcW w:w="80" w:type="dxa"/>
            <w:vAlign w:val="bottom"/>
            <w:shd w:val="clear" w:color="auto" w:fill="CFF2FF"/>
          </w:tcPr>
          <w:p>
            <w:pPr>
              <w:spacing w:after="0"/>
              <w:rPr>
                <w:sz w:val="18"/>
                <w:szCs w:val="18"/>
                <w:color w:val="auto"/>
              </w:rPr>
            </w:pPr>
          </w:p>
        </w:tc>
        <w:tc>
          <w:tcPr>
            <w:tcW w:w="80" w:type="dxa"/>
            <w:vAlign w:val="bottom"/>
            <w:shd w:val="clear" w:color="auto" w:fill="CFF2FF"/>
          </w:tcPr>
          <w:p>
            <w:pPr>
              <w:spacing w:after="0"/>
              <w:rPr>
                <w:sz w:val="18"/>
                <w:szCs w:val="18"/>
                <w:color w:val="auto"/>
              </w:rPr>
            </w:pPr>
          </w:p>
        </w:tc>
        <w:tc>
          <w:tcPr>
            <w:tcW w:w="100" w:type="dxa"/>
            <w:vAlign w:val="bottom"/>
            <w:shd w:val="clear" w:color="auto" w:fill="CFF2FF"/>
          </w:tcPr>
          <w:p>
            <w:pPr>
              <w:spacing w:after="0"/>
              <w:rPr>
                <w:sz w:val="18"/>
                <w:szCs w:val="18"/>
                <w:color w:val="auto"/>
              </w:rPr>
            </w:pPr>
          </w:p>
        </w:tc>
        <w:tc>
          <w:tcPr>
            <w:tcW w:w="560" w:type="dxa"/>
            <w:vAlign w:val="bottom"/>
            <w:shd w:val="clear" w:color="auto" w:fill="CFF2FF"/>
          </w:tcPr>
          <w:p>
            <w:pPr>
              <w:spacing w:after="0"/>
              <w:rPr>
                <w:sz w:val="18"/>
                <w:szCs w:val="18"/>
                <w:color w:val="auto"/>
              </w:rPr>
            </w:pPr>
          </w:p>
        </w:tc>
        <w:tc>
          <w:tcPr>
            <w:tcW w:w="60" w:type="dxa"/>
            <w:vAlign w:val="bottom"/>
            <w:shd w:val="clear" w:color="auto" w:fill="CFF2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shd w:val="clear" w:color="auto" w:fill="CFF2FF"/>
          </w:tcPr>
          <w:p>
            <w:pPr>
              <w:spacing w:after="0"/>
              <w:rPr>
                <w:sz w:val="20"/>
                <w:szCs w:val="20"/>
                <w:color w:val="auto"/>
              </w:rPr>
            </w:pPr>
            <w:r>
              <w:rPr>
                <w:rFonts w:ascii="Times New Roman" w:cs="Times New Roman" w:eastAsia="Times New Roman" w:hAnsi="Times New Roman"/>
                <w:sz w:val="18"/>
                <w:szCs w:val="18"/>
                <w:color w:val="auto"/>
              </w:rPr>
              <w:t>Foreign exchange-forward contracts (1)</w:t>
            </w:r>
          </w:p>
        </w:tc>
        <w:tc>
          <w:tcPr>
            <w:tcW w:w="2800" w:type="dxa"/>
            <w:vAlign w:val="bottom"/>
            <w:shd w:val="clear" w:color="auto" w:fill="CFF2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1220" w:type="dxa"/>
            <w:vAlign w:val="bottom"/>
            <w:gridSpan w:val="2"/>
            <w:shd w:val="clear" w:color="auto" w:fill="CFF2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2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2FF"/>
          </w:tcPr>
          <w:p>
            <w:pPr>
              <w:spacing w:after="0"/>
              <w:rPr>
                <w:sz w:val="20"/>
                <w:szCs w:val="20"/>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860" w:hanging="33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address foreign exchange fluctuations for the Euro versus the U.S. Dollar.</w:t>
      </w:r>
    </w:p>
    <w:p>
      <w:pPr>
        <w:spacing w:after="0" w:line="27" w:lineRule="exact"/>
        <w:rPr>
          <w:rFonts w:ascii="Times New Roman" w:cs="Times New Roman" w:eastAsia="Times New Roman" w:hAnsi="Times New Roman"/>
          <w:sz w:val="18"/>
          <w:szCs w:val="18"/>
          <w:color w:val="auto"/>
        </w:rPr>
      </w:pPr>
    </w:p>
    <w:p>
      <w:pPr>
        <w:ind w:left="860" w:right="360" w:hanging="334"/>
        <w:spacing w:after="0" w:line="261"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measure the fair value of our outstanding or unsettled derivatives using Level 2 fair value inputs, as we use a pricing model that takes into account the contract terms as well as current foreign currency exchange rates in active markets.</w:t>
      </w:r>
    </w:p>
    <w:p>
      <w:pPr>
        <w:spacing w:after="0" w:line="180"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consolidated balance sheets as of June 30, 2015 and December 31, 2014, respectively.</w:t>
      </w:r>
    </w:p>
    <w:p>
      <w:pPr>
        <w:spacing w:after="0" w:line="2"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The carrying value of the long-term debt from our 2015 Credit Facility and 2011 Credit Facility bears interest at a variable rate and therefore is also considered to approximate fair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3 assets or liabilities at June 30, 2015 and December 31,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for the periods presented:</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r>
      <w:tr>
        <w:trPr>
          <w:trHeight w:val="156"/>
        </w:trPr>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4"/>
          </w:tcPr>
          <w:p>
            <w:pPr>
              <w:jc w:val="right"/>
              <w:ind w:right="813"/>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and website development</w:t>
            </w:r>
          </w:p>
        </w:tc>
        <w:tc>
          <w:tcPr>
            <w:tcW w:w="12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Building (1)</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1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 (1)</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860" w:right="160" w:hanging="334"/>
        <w:spacing w:after="0" w:line="255"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construction costs to date, incurred by the landlord and the Company, related to our new corporate headquarters in Needham, MA. During the six months ended June 30, 2015, we capitalized $6 million in non-cash construction costs which were incurred by the landlord, with a corresponding liability recorded in other long-term liabilities. Upon completion of construction at the end of the second quarter of 2015, this asset was reclassified to a building asset and will be depreciated over an estimated useful life of 40 years on a straight-line</w:t>
      </w:r>
    </w:p>
    <w:p>
      <w:pPr>
        <w:spacing w:after="0" w:line="2" w:lineRule="exact"/>
        <w:rPr>
          <w:rFonts w:ascii="Times New Roman" w:cs="Times New Roman" w:eastAsia="Times New Roman" w:hAnsi="Times New Roman"/>
          <w:sz w:val="18"/>
          <w:szCs w:val="18"/>
          <w:color w:val="auto"/>
        </w:rPr>
      </w:pPr>
    </w:p>
    <w:p>
      <w:pPr>
        <w:ind w:left="860" w:righ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Refer to “Note 12 – Commitments and Contingencies,” in the notes to our unaudited consolidated financial statements in this Quarterly Report on Form 10-Q for additional information on our corporate headquarters lease.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goodwill activity by segment for the period presented: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Hotel</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2015</w:t>
            </w:r>
          </w:p>
        </w:tc>
        <w:tc>
          <w:tcPr>
            <w:tcW w:w="166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5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(1)</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adjustments (2)</w:t>
            </w:r>
          </w:p>
        </w:tc>
        <w:tc>
          <w:tcPr>
            <w:tcW w:w="8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as of June 30, 2015</w:t>
            </w:r>
          </w:p>
        </w:tc>
        <w:tc>
          <w:tcPr>
            <w:tcW w:w="8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relate to our 2015 business acquisitions.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are primarily related to impact of changes in foreign exchange rates.</w:t>
      </w:r>
    </w:p>
    <w:p>
      <w:pPr>
        <w:spacing w:after="0" w:line="200" w:lineRule="exact"/>
        <w:rPr>
          <w:sz w:val="20"/>
          <w:szCs w:val="20"/>
          <w:color w:val="auto"/>
        </w:rPr>
      </w:pPr>
    </w:p>
    <w:p>
      <w:pPr>
        <w:spacing w:after="0" w:line="33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Intangible assets, which were acquired in business combinations and recorded at fair value on the date of purchase, consist of the following for the periods presented: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2800" w:type="dxa"/>
            <w:vAlign w:val="bottom"/>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17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7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00" w:type="dxa"/>
            <w:vAlign w:val="bottom"/>
            <w:vMerge w:val="restart"/>
          </w:tcPr>
          <w:p>
            <w:pPr>
              <w:jc w:val="right"/>
              <w:ind w:right="756"/>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4" w:right="21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our intangible assets with definite lives for the periods presented:</w:t>
      </w:r>
    </w:p>
    <w:p>
      <w:pPr>
        <w:spacing w:after="0" w:line="200" w:lineRule="exact"/>
        <w:rPr>
          <w:sz w:val="20"/>
          <w:szCs w:val="20"/>
          <w:color w:val="auto"/>
        </w:rPr>
      </w:pP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gridSpan w:val="3"/>
            <w:shd w:val="clear" w:color="auto" w:fill="CFF0FC"/>
          </w:tcPr>
          <w:p>
            <w:pPr>
              <w:jc w:val="right"/>
              <w:ind w:right="18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 and supplier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The estimated amortization expense for intangible assets with definite lives for each of the next five years, and the expense thereafter, assuming no subsequent impairment of the underlying assets, is expected to be as follows (in millions):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 (remaining six months)</w:t>
            </w:r>
          </w:p>
        </w:tc>
        <w:tc>
          <w:tcPr>
            <w:tcW w:w="3380" w:type="dxa"/>
            <w:vAlign w:val="bottom"/>
            <w:gridSpan w:val="2"/>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2020 and thereafter</w:t>
            </w:r>
          </w:p>
        </w:tc>
        <w:tc>
          <w:tcPr>
            <w:tcW w:w="25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for the periods presented: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9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4"/>
          </w:tcPr>
          <w:p>
            <w:pPr>
              <w:jc w:val="right"/>
              <w:ind w:right="2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960" w:type="dxa"/>
            <w:vAlign w:val="bottom"/>
            <w:gridSpan w:val="2"/>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7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720" w:type="dxa"/>
            <w:vAlign w:val="bottom"/>
          </w:tcPr>
          <w:p>
            <w:pPr>
              <w:spacing w:after="0"/>
              <w:rPr>
                <w:sz w:val="22"/>
                <w:szCs w:val="22"/>
                <w:color w:val="auto"/>
              </w:rPr>
            </w:pPr>
          </w:p>
        </w:tc>
        <w:tc>
          <w:tcPr>
            <w:tcW w:w="124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2015 Credit Facility</w:t>
            </w:r>
          </w:p>
        </w:tc>
        <w:tc>
          <w:tcPr>
            <w:tcW w:w="196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7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Credit Facility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20, 2011, we entered into a credit agreement, (the “2011 Credit Facility”), which provided $600 million of borrowing including:</w:t>
      </w:r>
    </w:p>
    <w:p>
      <w:pPr>
        <w:spacing w:after="0" w:line="216" w:lineRule="exact"/>
        <w:rPr>
          <w:sz w:val="20"/>
          <w:szCs w:val="20"/>
          <w:color w:val="auto"/>
        </w:rPr>
      </w:pPr>
    </w:p>
    <w:p>
      <w:pPr>
        <w:ind w:left="840" w:right="1700" w:hanging="270"/>
        <w:spacing w:after="0" w:line="21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 term loan facility in an aggregate principal amount of $400 million with a term of five years due December 2016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Loan”); and</w:t>
      </w:r>
    </w:p>
    <w:p>
      <w:pPr>
        <w:ind w:left="840" w:right="1980" w:hanging="270"/>
        <w:spacing w:after="0" w:line="20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 revolving credit facility in an aggregate principal amount of $200 million available in U.S. dollars, Euros and British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pound sterling with a term of five years expiring December 2016 (the “2011 Revolving Credit Facility”).</w:t>
      </w:r>
    </w:p>
    <w:p>
      <w:pPr>
        <w:spacing w:after="0" w:line="308" w:lineRule="exact"/>
        <w:rPr>
          <w:sz w:val="20"/>
          <w:szCs w:val="20"/>
          <w:color w:val="auto"/>
        </w:rPr>
      </w:pPr>
    </w:p>
    <w:p>
      <w:pPr>
        <w:ind w:firstLine="552"/>
        <w:spacing w:after="0" w:line="282" w:lineRule="auto"/>
        <w:rPr>
          <w:sz w:val="20"/>
          <w:szCs w:val="20"/>
          <w:color w:val="auto"/>
        </w:rPr>
      </w:pPr>
      <w:r>
        <w:rPr>
          <w:rFonts w:ascii="Times New Roman" w:cs="Times New Roman" w:eastAsia="Times New Roman" w:hAnsi="Times New Roman"/>
          <w:sz w:val="18"/>
          <w:szCs w:val="18"/>
          <w:color w:val="auto"/>
        </w:rPr>
        <w:t>On June 26, 2015, the entire outstanding principal on our Term Loan in the amount of $290 million was repaid with borrowings from our 2015 Credit Facility (described below) and the 2011 Credit Facility was subsequently terminated. The Company was able to</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16" w:name="page17"/>
    <w:bookmarkEnd w:id="16"/>
    <w:p>
      <w:pPr>
        <w:ind w:right="340"/>
        <w:spacing w:after="0" w:line="282" w:lineRule="auto"/>
        <w:rPr>
          <w:sz w:val="20"/>
          <w:szCs w:val="20"/>
          <w:color w:val="auto"/>
        </w:rPr>
      </w:pPr>
      <w:r>
        <w:rPr>
          <w:rFonts w:ascii="Times New Roman" w:cs="Times New Roman" w:eastAsia="Times New Roman" w:hAnsi="Times New Roman"/>
          <w:sz w:val="18"/>
          <w:szCs w:val="18"/>
          <w:color w:val="auto"/>
        </w:rPr>
        <w:t>repay the Term Loan debt and terminate the 2011 Credit Facility without premium or penalty. There was no resulting loss on early extinguishment of this debt.</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2015, we recorded total interest and commitment fees on our 2011 Credit Facility of $1 million and $3 million, respectively, to interest expense on our unaudited consolidated statements of operations. During the three and six months ended June 30, 2014, we recorded total interest and commitment fees on our 2011 Credit Facility of $2 million and $3 million, respectively, to interest expense on our unaudited consolidated statements of operations. There are no unpaid interest and commitment fee amounts as of June 30, 2015.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229" w:lineRule="exact"/>
        <w:rPr>
          <w:sz w:val="20"/>
          <w:szCs w:val="20"/>
          <w:color w:val="auto"/>
        </w:rPr>
      </w:pPr>
    </w:p>
    <w:p>
      <w:pPr>
        <w:jc w:val="both"/>
        <w:ind w:right="360" w:firstLine="552"/>
        <w:spacing w:after="0" w:line="261" w:lineRule="auto"/>
        <w:rPr>
          <w:sz w:val="20"/>
          <w:szCs w:val="20"/>
          <w:color w:val="auto"/>
        </w:rPr>
      </w:pPr>
      <w:r>
        <w:rPr>
          <w:rFonts w:ascii="Times New Roman" w:cs="Times New Roman" w:eastAsia="Times New Roman" w:hAnsi="Times New Roman"/>
          <w:sz w:val="18"/>
          <w:szCs w:val="18"/>
          <w:color w:val="auto"/>
        </w:rPr>
        <w:t>On June 26, 2015, we entered into a five year credit agreement with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 (the “2015 Credit Facility”).</w:t>
      </w:r>
    </w:p>
    <w:p>
      <w:pPr>
        <w:spacing w:after="0" w:line="180" w:lineRule="exact"/>
        <w:rPr>
          <w:sz w:val="20"/>
          <w:szCs w:val="20"/>
          <w:color w:val="auto"/>
        </w:rPr>
      </w:pPr>
    </w:p>
    <w:p>
      <w:pPr>
        <w:ind w:firstLine="552"/>
        <w:spacing w:after="0" w:line="255" w:lineRule="auto"/>
        <w:rPr>
          <w:sz w:val="20"/>
          <w:szCs w:val="20"/>
          <w:color w:val="auto"/>
        </w:rPr>
      </w:pPr>
      <w:r>
        <w:rPr>
          <w:rFonts w:ascii="Times New Roman" w:cs="Times New Roman" w:eastAsia="Times New Roman" w:hAnsi="Times New Roman"/>
          <w:sz w:val="18"/>
          <w:szCs w:val="18"/>
          <w:color w:val="auto"/>
        </w:rPr>
        <w:t>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revolving credit facility not paid when due shall bear interest at (i) in the case of principal, the applicable interest rate plus 2.00% per annum, (ii) in the case of interest denominated in Sterling or Euro, the applicable rate plus 2.00% per annum and (ii) in the case of interest denominated in US Dollars, 2.00% per annum plus the Alternate Base Rate plus the interest rate spread applicable to ABR loans. The Company may borrow from the revolving credit facility in U.S dollars, Euros and British pound sterling with a term of five years expiring June 26, 2020.</w:t>
      </w:r>
    </w:p>
    <w:p>
      <w:pPr>
        <w:spacing w:after="0" w:line="41"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immediately borrowed $290 million from this revolving credit facility, which was used to repay all outstanding borrowings pursuant to the 2011 Credit Facility and is recorded in long term liabilities on our unaudited balance sheet as of June 30, 2015. There is no specific repayment date prior to the five-year maturity date for borrowings under this revolving credit facility. Based on the Company’s current leverage ratio, our borrowings bear interest at LIBOR plus 125 basis points, or the Eurocurrency Spread. The Company is currently borrowing under a one-month interest period of 1.44% per annum, using a one-month interest period Eurocurrency Spread, which will reset periodically. Interest will be payable on a monthly basis while the Company is borrowing under the one-month interest rate period.</w:t>
      </w:r>
    </w:p>
    <w:p>
      <w:pPr>
        <w:spacing w:after="0" w:line="188"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$40 million of borrowing capacity available for letters of credit and $40 million for borrowings on same-day notice. As of June 30, 2015, we had issued $2 million of outstanding letters of credit under the 2015 Credit Facility.</w:t>
      </w:r>
    </w:p>
    <w:p>
      <w:pPr>
        <w:spacing w:after="0" w:line="180" w:lineRule="exact"/>
        <w:rPr>
          <w:sz w:val="20"/>
          <w:szCs w:val="20"/>
          <w:color w:val="auto"/>
        </w:rPr>
      </w:pPr>
    </w:p>
    <w:p>
      <w:pPr>
        <w:ind w:firstLine="552"/>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2015, total interest and commitment fees recorded under our 2015 Credit Facility to interest expense on our unaudited consolidated statements of operations were not material. All unpaid interest and commitment fee amounts as of June 30, 2015 were also not material.</w:t>
      </w:r>
    </w:p>
    <w:p>
      <w:pPr>
        <w:spacing w:after="0" w:line="176" w:lineRule="exact"/>
        <w:rPr>
          <w:sz w:val="20"/>
          <w:szCs w:val="20"/>
          <w:color w:val="auto"/>
        </w:rPr>
      </w:pPr>
    </w:p>
    <w:p>
      <w:pPr>
        <w:ind w:right="120" w:firstLine="552"/>
        <w:spacing w:after="0" w:line="261" w:lineRule="auto"/>
        <w:rPr>
          <w:sz w:val="20"/>
          <w:szCs w:val="20"/>
          <w:color w:val="auto"/>
        </w:rPr>
      </w:pPr>
      <w:r>
        <w:rPr>
          <w:rFonts w:ascii="Times New Roman" w:cs="Times New Roman" w:eastAsia="Times New Roman" w:hAnsi="Times New Roman"/>
          <w:sz w:val="18"/>
          <w:szCs w:val="18"/>
          <w:color w:val="auto"/>
        </w:rPr>
        <w:t>In connection with the 2015 Credit Facility, we incurred lender fees and debt financing costs totaling $3 million, which were recorded as a reduction of the 2015 Credit Facility borrowings and reported in long-term debt on the unaudited consolidated balance sheet as of June 30, 2015. These costs will be amortized over the term of the 2015 Credit Facility using the effective interest rate method and will be recorded to interest expense on our unaudited consolidated statements of operations.</w:t>
      </w:r>
    </w:p>
    <w:p>
      <w:pPr>
        <w:spacing w:after="0" w:line="45"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68" w:lineRule="exact"/>
        <w:rPr>
          <w:sz w:val="20"/>
          <w:szCs w:val="20"/>
          <w:color w:val="auto"/>
        </w:rPr>
      </w:pPr>
    </w:p>
    <w:p>
      <w:pPr>
        <w:ind w:right="40" w:firstLine="552"/>
        <w:spacing w:after="0" w:line="261" w:lineRule="auto"/>
        <w:rPr>
          <w:sz w:val="20"/>
          <w:szCs w:val="20"/>
          <w:color w:val="auto"/>
        </w:rPr>
      </w:pPr>
      <w:r>
        <w:rPr>
          <w:rFonts w:ascii="Times New Roman" w:cs="Times New Roman" w:eastAsia="Times New Roman" w:hAnsi="Times New Roman"/>
          <w:sz w:val="18"/>
          <w:szCs w:val="18"/>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June 30, 2015, we are in compliance with all of our debt covenants.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7" w:name="page18"/>
    <w:bookmarkEnd w:id="17"/>
    <w:p>
      <w:pPr>
        <w:ind w:right="200" w:firstLine="548"/>
        <w:spacing w:after="0" w:line="282" w:lineRule="auto"/>
        <w:rPr>
          <w:sz w:val="20"/>
          <w:szCs w:val="20"/>
          <w:color w:val="auto"/>
        </w:rPr>
      </w:pPr>
      <w:r>
        <w:rPr>
          <w:rFonts w:ascii="Times New Roman" w:cs="Times New Roman" w:eastAsia="Times New Roman" w:hAnsi="Times New Roman"/>
          <w:sz w:val="18"/>
          <w:szCs w:val="18"/>
          <w:color w:val="auto"/>
        </w:rPr>
        <w:t>The full text of the credit agreement entered into in connection with the 2015 Credit Facility is incorporated by reference in this Quarterly Report to Exhibit 10.1 of the Company’s current report on Form 8-K filed June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Credit Facilities</w:t>
      </w:r>
    </w:p>
    <w:p>
      <w:pPr>
        <w:spacing w:after="0" w:line="121" w:lineRule="exact"/>
        <w:rPr>
          <w:sz w:val="20"/>
          <w:szCs w:val="20"/>
          <w:color w:val="auto"/>
        </w:rPr>
      </w:pPr>
    </w:p>
    <w:p>
      <w:pPr>
        <w:ind w:right="80" w:firstLine="552"/>
        <w:spacing w:after="0" w:line="282" w:lineRule="auto"/>
        <w:rPr>
          <w:sz w:val="20"/>
          <w:szCs w:val="20"/>
          <w:color w:val="auto"/>
        </w:rPr>
      </w:pPr>
      <w:r>
        <w:rPr>
          <w:rFonts w:ascii="Times New Roman" w:cs="Times New Roman" w:eastAsia="Times New Roman" w:hAnsi="Times New Roman"/>
          <w:sz w:val="18"/>
          <w:szCs w:val="18"/>
          <w:color w:val="auto"/>
        </w:rPr>
        <w:t>In addition to our borrowings under the 2015 Credit Facility, we maintain our Chinese Credit Facilities. As of June 30, 2015 and December 31, 2014, we had short-term borrowings outstanding of $1 million and $38 million, respectively.</w:t>
      </w:r>
    </w:p>
    <w:p>
      <w:pPr>
        <w:spacing w:after="0" w:line="162" w:lineRule="exact"/>
        <w:rPr>
          <w:sz w:val="20"/>
          <w:szCs w:val="20"/>
          <w:color w:val="auto"/>
        </w:rPr>
      </w:pPr>
    </w:p>
    <w:p>
      <w:pPr>
        <w:jc w:val="both"/>
        <w:ind w:right="60" w:firstLine="552"/>
        <w:spacing w:after="0" w:line="258" w:lineRule="auto"/>
        <w:rPr>
          <w:sz w:val="20"/>
          <w:szCs w:val="20"/>
          <w:color w:val="auto"/>
        </w:rPr>
      </w:pPr>
      <w:r>
        <w:rPr>
          <w:rFonts w:ascii="Times New Roman" w:cs="Times New Roman" w:eastAsia="Times New Roman" w:hAnsi="Times New Roman"/>
          <w:sz w:val="18"/>
          <w:szCs w:val="18"/>
          <w:color w:val="auto"/>
        </w:rPr>
        <w:t>Certain of our Chinese subsidiaries are entered into a RMB 189,000,000 (approximately $30 million), one-year revolving credit facility with Bank of America (the “Chinese Credit Facility—BOA”) that is currently subject to review on a periodic basis with no specific expiration period. Our Chinese Credit Facility—BOA currently bears interest at a rate based on 100% of the People’s Bank of China’s base rate, which was 4.85% as of June 30, 2015. During the three months ended June 30, 2015, the Company made a $22 million repayment of our outstanding borrowings on our Chinese Credit Facilities- BOA. As of June 30, 2015, we had $1 million of outstanding borrowings from the Chinese Credit Facility—BOA.</w:t>
      </w:r>
    </w:p>
    <w:p>
      <w:pPr>
        <w:spacing w:after="0" w:line="184" w:lineRule="exact"/>
        <w:rPr>
          <w:sz w:val="20"/>
          <w:szCs w:val="20"/>
          <w:color w:val="auto"/>
        </w:rPr>
      </w:pPr>
    </w:p>
    <w:p>
      <w:pPr>
        <w:ind w:right="60" w:firstLine="552"/>
        <w:spacing w:after="0" w:line="258" w:lineRule="auto"/>
        <w:rPr>
          <w:sz w:val="20"/>
          <w:szCs w:val="20"/>
          <w:color w:val="auto"/>
        </w:rPr>
      </w:pPr>
      <w:r>
        <w:rPr>
          <w:rFonts w:ascii="Times New Roman" w:cs="Times New Roman" w:eastAsia="Times New Roman" w:hAnsi="Times New Roman"/>
          <w:sz w:val="18"/>
          <w:szCs w:val="18"/>
          <w:color w:val="auto"/>
        </w:rPr>
        <w:t>In addition, certain of our Chinese subsidiaries are entered into a RMB 125,000,000 (approximately $20 million) one-year revolving credit facility with J.P. Morgan Chase Bank (“Chinese Credit Facility—JPM”). Our Chinese Credit Facility—JPM currently also bears interest at a rate based on 100% of the People’s Bank of China’s base rate, which was 4.85% as of June 30, 2015. During the three months ended June 30, 2015, the Company made a $19 million repayment of our outstanding borrowings on our Chinese Credit Facilities- JPM. As of June 30, 2015, there are no outstanding borrowings under our Chinese Credit Facility – JPM.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and, accordingly, we measure our tax expense using an estimated annual effective tax rate. A company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2015 was 29.3% and 28.0%, respectively. Our effective tax rate for the three and six months ended June 30, 2014 was 30.6% and 29.2%, respectively. For the three and six months ended June 30, 2015,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decrease in the effective tax rate for 2015 compared to the 2014 effective tax rate was primarily due to a change in jurisdictional earnings.</w:t>
      </w:r>
    </w:p>
    <w:p>
      <w:pPr>
        <w:spacing w:after="0" w:line="184"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Our policy is to recognize accrued interest and penalties related to unrecognized tax benefits and income tax liabilities as part of our income tax expense. As of June 30, 2015, accrued interest is $3 million, net of federal benefit, and no penalties have been accrued. We do not anticipate any material releases in the next twelve months.</w:t>
      </w:r>
    </w:p>
    <w:p>
      <w:pPr>
        <w:spacing w:after="0" w:line="176"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are under examination by the Internal Revenue Service (“IRS”) for the 2009 and 2010 tax years with respect to consolidated income tax returns previously filed with Expedia, Inc., and we have various ongoing state income tax audits. We are separately under examination by the IRS for the 2012 and 2013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2007. As of June 30, 2015, no material assessments have resulted.</w:t>
      </w:r>
    </w:p>
    <w:p>
      <w:pPr>
        <w:spacing w:after="0" w:line="184" w:lineRule="exact"/>
        <w:rPr>
          <w:sz w:val="20"/>
          <w:szCs w:val="20"/>
          <w:color w:val="auto"/>
        </w:rPr>
      </w:pPr>
    </w:p>
    <w:p>
      <w:pPr>
        <w:ind w:right="400" w:firstLine="518"/>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2015, we received notification of a proposed adjustment from the IRS for the 2009 and 2010 tax years and we anticipate receiving additional notices of proposed adjustments for the same years. These proposed adjustments are related to transfer pricing with our foreign subsidiaries, and will result in an increase to U.S. taxable income and federal tax expense for 2009 and 2010, subject to interest. Our policy is to review and update tax reserves as facts and circumstances change. Based on our interpretation of the regulations and available case law, we believe the position we have taken with regard to transfer pricing with our foreign subsidiaries is sustainable. We intend to defend our position through IRS administrative and, if necessary, judicial remedies.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3"/>
          </w:tcPr>
          <w:p>
            <w:pPr>
              <w:jc w:val="right"/>
              <w:ind w:right="96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related benefits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charitable foundation payments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2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12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OTHER LONG-TERM LIABILITIES</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3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Other long-term liabilities consisted of the following for the periods presented:</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(1)</w:t>
            </w:r>
          </w:p>
        </w:tc>
        <w:tc>
          <w:tcPr>
            <w:tcW w:w="94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financing obligation, net of current portion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(3)</w:t>
            </w: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accrued interest related to this liability.</w:t>
      </w:r>
    </w:p>
    <w:p>
      <w:pPr>
        <w:spacing w:after="0" w:line="27" w:lineRule="exact"/>
        <w:rPr>
          <w:rFonts w:ascii="Times New Roman" w:cs="Times New Roman" w:eastAsia="Times New Roman" w:hAnsi="Times New Roman"/>
          <w:sz w:val="18"/>
          <w:szCs w:val="18"/>
          <w:color w:val="auto"/>
        </w:rPr>
      </w:pPr>
    </w:p>
    <w:p>
      <w:pPr>
        <w:ind w:left="460" w:right="164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12 – Commitments and Contingencies,” in the notes to our unaudited consolidated financial statements for in this Quarterly Report on Form 10-Q for additional information on our corporate headquarters lease.</w:t>
      </w: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consist of long term deferred rent balances related to operating leases for office space.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to New Corporate Headquarters</w:t>
      </w:r>
    </w:p>
    <w:p>
      <w:pPr>
        <w:spacing w:after="0" w:line="121" w:lineRule="exact"/>
        <w:rPr>
          <w:sz w:val="20"/>
          <w:szCs w:val="20"/>
          <w:color w:val="auto"/>
        </w:rPr>
      </w:pPr>
    </w:p>
    <w:p>
      <w:pPr>
        <w:ind w:right="120" w:firstLine="552"/>
        <w:spacing w:after="0" w:line="256" w:lineRule="auto"/>
        <w:rPr>
          <w:sz w:val="20"/>
          <w:szCs w:val="20"/>
          <w:color w:val="auto"/>
        </w:rPr>
      </w:pPr>
      <w:r>
        <w:rPr>
          <w:rFonts w:ascii="Times New Roman" w:cs="Times New Roman" w:eastAsia="Times New Roman" w:hAnsi="Times New Roman"/>
          <w:sz w:val="18"/>
          <w:szCs w:val="18"/>
          <w:color w:val="auto"/>
        </w:rPr>
        <w:t>In June 2013, TripAdvisor LLC (“TA LLC”), our indirect, wholly owned subsidiary, entered into a lease, for a new corporate headquarters (the “Lease”). Pursuant to the Lease, the landlord built an approximately 280,000 square foot rental building in Needham, Massachusetts (the “Premises”), and leased the Premises to TA LLC as our new corporate headquarters for an initial term of 15 years and 7 months or through December 2030. Under the Lease, TA LLC is required to pay an initial base rent of $33.00 per square foot per year, increasing to $34.50 per square foot by the final year of the initial term, as well as all real estate taxes and other building operating costs. TA LLC also has an option to extend the term of the Lease for two consecutive terms of five years each.</w:t>
      </w:r>
    </w:p>
    <w:p>
      <w:pPr>
        <w:spacing w:after="0" w:line="296" w:lineRule="exact"/>
        <w:rPr>
          <w:sz w:val="20"/>
          <w:szCs w:val="20"/>
          <w:color w:val="auto"/>
        </w:rPr>
      </w:pPr>
    </w:p>
    <w:p>
      <w:pPr>
        <w:jc w:val="both"/>
        <w:ind w:firstLine="548"/>
        <w:spacing w:after="0" w:line="261" w:lineRule="auto"/>
        <w:rPr>
          <w:sz w:val="20"/>
          <w:szCs w:val="20"/>
          <w:color w:val="auto"/>
        </w:rPr>
      </w:pPr>
      <w:r>
        <w:rPr>
          <w:rFonts w:ascii="Times New Roman" w:cs="Times New Roman" w:eastAsia="Times New Roman" w:hAnsi="Times New Roman"/>
          <w:sz w:val="18"/>
          <w:szCs w:val="18"/>
          <w:color w:val="auto"/>
        </w:rPr>
        <w:t>The aggregate future minimum lease payments are $143 million and are currently scheduled to be paid, beginning in November 2015, as follows: $1 million for 2015, $9 million for 2016, $9 million for 2017, $9 million for 2018, $9 million for 2019 and an aggregate of $106 million for 2020 and thereafter. The Lease has escalating rental payments and initial periods of free rent. TA LLC was also obligated to deliver a letter of credit to the Landlord in the amount of $1 million as security deposit, which amount is subject to increase under certain circumstances.</w:t>
      </w:r>
    </w:p>
    <w:p>
      <w:pPr>
        <w:spacing w:after="0" w:line="180" w:lineRule="exact"/>
        <w:rPr>
          <w:sz w:val="20"/>
          <w:szCs w:val="20"/>
          <w:color w:val="auto"/>
        </w:rPr>
      </w:pPr>
    </w:p>
    <w:p>
      <w:pPr>
        <w:ind w:right="80" w:firstLine="552"/>
        <w:spacing w:after="0" w:line="277" w:lineRule="auto"/>
        <w:rPr>
          <w:sz w:val="20"/>
          <w:szCs w:val="20"/>
          <w:color w:val="auto"/>
        </w:rPr>
      </w:pPr>
      <w:r>
        <w:rPr>
          <w:rFonts w:ascii="Times New Roman" w:cs="Times New Roman" w:eastAsia="Times New Roman" w:hAnsi="Times New Roman"/>
          <w:sz w:val="17"/>
          <w:szCs w:val="17"/>
          <w:color w:val="auto"/>
        </w:rPr>
        <w:t>Because we were involved in the construction project, including having responsibility to pay for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incurred by the landlord as a construction-in-progress asset and a related construction financing obligation during the construction period on our consolidated balance sheets. The amounts that the Company has paid or incurred for normal tenant improvements and structural improvements have also been recorded to the construction-in-progress asset.</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19" w:name="page20"/>
    <w:bookmarkEnd w:id="19"/>
    <w:p>
      <w:pPr>
        <w:ind w:right="20" w:firstLine="552"/>
        <w:spacing w:after="0" w:line="253" w:lineRule="auto"/>
        <w:rPr>
          <w:sz w:val="20"/>
          <w:szCs w:val="20"/>
          <w:color w:val="auto"/>
        </w:rPr>
      </w:pPr>
      <w:r>
        <w:rPr>
          <w:rFonts w:ascii="Times New Roman" w:cs="Times New Roman" w:eastAsia="Times New Roman" w:hAnsi="Times New Roman"/>
          <w:sz w:val="18"/>
          <w:szCs w:val="18"/>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has been accounted for as a financing obligation. Accordingly, we will depreciate the building asset over its estimated useful life and incur interest expense related to the construction financing obligation using the effective interest rate method. We will bifurcate our lease payments pursuant to the Premises into (i) a portion that is allocated to the building (a reduction to the construction financing obligation) and; (ii) a portion that is allocated to the land on which the building was constructed. Although we will not begin making lease payments pursuant to the Lease until November 2015, the portion of the lease payments allocated to the land is being treated for accounting purposes as an operating lease that commenced in 2013. The construction financing obligation is considered a long-term finance lease obligation with the current portion recorded to “Accrued expenses and other” on our consolidated balance sheet. At the end of the lease term, the carrying value of the building asset and of the remaining construction financing obligation are expected to be equal, at which time we may either surrender the leased asset as settlement of the remaining construction financing obligation or extend the initial term of the lease for the continued use of the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arising out of our operations. These matters may involve claims involving alleged infringement of third-party intellectual property rights (including patent infringement), defamation, taxes, regulatory compliance privacy issues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85"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commitments and contingencies since December 31, 2014, except as described in “Note 8— Debt” in the notes to our unaudited consolidated financial statements in this Quarterly Report on Form 10-Q regarding our 2011 Credit Facility and 2015 Credit Facility. Refer to “Note 12— Commitments and Contingencies,” in the notes to our consolidated financial statements in Item 8 of our Annual Report on Form 10-K for the year ended December 31, 2014.</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reporting structure includes two reportable segments: Hotel and Other.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Hotel</w:t>
      </w:r>
    </w:p>
    <w:p>
      <w:pPr>
        <w:spacing w:after="0" w:line="119" w:lineRule="exact"/>
        <w:rPr>
          <w:sz w:val="20"/>
          <w:szCs w:val="20"/>
          <w:color w:val="auto"/>
        </w:rPr>
      </w:pPr>
    </w:p>
    <w:p>
      <w:pPr>
        <w:ind w:right="420" w:firstLine="552"/>
        <w:spacing w:after="0" w:line="261" w:lineRule="auto"/>
        <w:rPr>
          <w:sz w:val="20"/>
          <w:szCs w:val="20"/>
          <w:color w:val="auto"/>
        </w:rPr>
      </w:pPr>
      <w:r>
        <w:rPr>
          <w:rFonts w:ascii="Times New Roman" w:cs="Times New Roman" w:eastAsia="Times New Roman" w:hAnsi="Times New Roman"/>
          <w:sz w:val="18"/>
          <w:szCs w:val="18"/>
          <w:color w:val="auto"/>
        </w:rPr>
        <w:t>Our Hotel segment includes revenue generated from services related to hotels, including click-based and display-based advertising revenue from making hotel room reservations, airline reservations, and cruise reservations available for price comparison and booking, as well as subscription-based products such as Business Listings, transaction-based products such as Jetsetter and Tingo, and other hotel related revenue. Our chief operating decision maker, or CODM, is also the Hotel segment manager.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Other segment consists of the aggregation of three operating segments: our Attractions, Restaurants and Vacation Rentals businesses.</w:t>
      </w:r>
    </w:p>
    <w:p>
      <w:pPr>
        <w:spacing w:after="0" w:line="223" w:lineRule="exact"/>
        <w:rPr>
          <w:sz w:val="20"/>
          <w:szCs w:val="20"/>
          <w:color w:val="auto"/>
        </w:rPr>
      </w:pPr>
    </w:p>
    <w:p>
      <w:pPr>
        <w:ind w:right="280" w:firstLine="5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Attractions. </w:t>
      </w:r>
      <w:r>
        <w:rPr>
          <w:rFonts w:ascii="Times New Roman" w:cs="Times New Roman" w:eastAsia="Times New Roman" w:hAnsi="Times New Roman"/>
          <w:sz w:val="18"/>
          <w:szCs w:val="18"/>
          <w:color w:val="auto"/>
        </w:rPr>
        <w:t>We provide, primarily through Viator, information and services for researching and booking destination activities around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Viator works 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This business is comprised of our websites that provide online and mobile reservation services that connect restaurants with</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diners. These websites are currently primarily focused on the European market, primarily through Lafourchette. Lafourchette is an online restaurant booking platform with a network of restaurant partners across Europe. Lafourchette also offers management software solutions helping restaurants to maximize business by providing a flexible online booking, discount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and data tool. Revenue is primarily generated by receiving a fee for each restaurant guest seated through the online reservation systems.</w:t>
      </w:r>
    </w:p>
    <w:p>
      <w:pPr>
        <w:spacing w:after="0" w:line="223" w:lineRule="exact"/>
        <w:rPr>
          <w:sz w:val="20"/>
          <w:szCs w:val="20"/>
          <w:color w:val="auto"/>
        </w:rPr>
      </w:pPr>
    </w:p>
    <w:p>
      <w:pPr>
        <w:ind w:right="120" w:firstLine="552"/>
        <w:spacing w:after="0" w:line="261"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offer individual property owners and property managers the ability to list their properties available for rental and connect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travelers using a subscription-based fee structure or a free-to-list, commission per booking based option. Our vacation rental inventory currently includes full home rentals, condos, villas, beach rentals, cabins, cottages, and many other accommodation types. These properties are listed across a number of platforms, including TripAdvisor Vacation Rentals, U.S.-based FlipKey, and European-based Holiday Lettings and Niumba.</w:t>
      </w:r>
    </w:p>
    <w:p>
      <w:pPr>
        <w:spacing w:after="0" w:line="182" w:lineRule="exact"/>
        <w:rPr>
          <w:sz w:val="20"/>
          <w:szCs w:val="20"/>
          <w:color w:val="auto"/>
        </w:rPr>
      </w:pPr>
    </w:p>
    <w:p>
      <w:pPr>
        <w:ind w:right="60" w:firstLine="552"/>
        <w:spacing w:after="0" w:line="282" w:lineRule="auto"/>
        <w:rPr>
          <w:sz w:val="20"/>
          <w:szCs w:val="20"/>
          <w:color w:val="auto"/>
        </w:rPr>
      </w:pPr>
      <w:r>
        <w:rPr>
          <w:rFonts w:ascii="Times New Roman" w:cs="Times New Roman" w:eastAsia="Times New Roman" w:hAnsi="Times New Roman"/>
          <w:sz w:val="18"/>
          <w:szCs w:val="18"/>
          <w:color w:val="auto"/>
        </w:rPr>
        <w:t>Each operating segment in our Other segment has a segment manager who is directly accountable to and maintains regular contact with our CODM to discuss operating activities, financial results, forecasts, and plans for the segment.</w:t>
      </w:r>
    </w:p>
    <w:p>
      <w:pPr>
        <w:spacing w:after="0" w:line="162" w:lineRule="exact"/>
        <w:rPr>
          <w:sz w:val="20"/>
          <w:szCs w:val="20"/>
          <w:color w:val="auto"/>
        </w:rPr>
      </w:pPr>
    </w:p>
    <w:p>
      <w:pPr>
        <w:ind w:right="60" w:firstLine="552"/>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by excluding certain non-cash expenses, such as stock-based compensation, stock-settled obligations, asset impairments,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85" w:lineRule="exact"/>
        <w:rPr>
          <w:sz w:val="20"/>
          <w:szCs w:val="20"/>
          <w:color w:val="auto"/>
        </w:rPr>
      </w:pPr>
    </w:p>
    <w:p>
      <w:pPr>
        <w:ind w:right="200" w:firstLine="552"/>
        <w:spacing w:after="0" w:line="255" w:lineRule="auto"/>
        <w:rPr>
          <w:sz w:val="20"/>
          <w:szCs w:val="20"/>
          <w:color w:val="auto"/>
        </w:rPr>
      </w:pPr>
      <w:r>
        <w:rPr>
          <w:rFonts w:ascii="Times New Roman" w:cs="Times New Roman" w:eastAsia="Times New Roman" w:hAnsi="Times New Roman"/>
          <w:sz w:val="18"/>
          <w:szCs w:val="18"/>
          <w:color w:val="auto"/>
        </w:rPr>
        <w:t>The following tables present our segment information for the three and six months ended June 30, 2015 and 2014. We have recorded depreciation of property and equipment, including amortization of internal-use software and website development, amortization of intangible assets, stock-based compensation, other non-recurring expenses, other expenses, net, and income taxes, which are excluded from segment operating performance, in Corporate and unallocated. In addition, we do not report our assets or capital expenditures by segment as it would not be meaningful. We also do not regularly provide asset, capital expenditure or depreciation information by segment to our CODM.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2015</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4"/>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4"/>
          </w:tcPr>
          <w:p>
            <w:pPr>
              <w:jc w:val="right"/>
              <w:ind w:right="68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1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non-recurring expenses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vMerge w:val="restart"/>
          </w:tcPr>
          <w:p>
            <w:pPr>
              <w:jc w:val="right"/>
              <w:ind w:right="824"/>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21" w:name="page22"/>
    <w:bookmarkEnd w:id="21"/>
    <w:tbl>
      <w:tblPr>
        <w:tblLayout w:type="fixed"/>
        <w:tblInd w:w="113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Three months ended June 30, 2014</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4"/>
          </w:tcPr>
          <w:p>
            <w:pPr>
              <w:jc w:val="center"/>
              <w:ind w:right="56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(2)</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8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5"/>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Six months ended June 30, 2015</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4"/>
          </w:tcPr>
          <w:p>
            <w:pPr>
              <w:jc w:val="center"/>
              <w:ind w:right="56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1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non-recurring expenses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10"/>
        </w:trPr>
        <w:tc>
          <w:tcPr>
            <w:tcW w:w="27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5"/>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Six months ended June 30, 2014</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4"/>
          </w:tcPr>
          <w:p>
            <w:pPr>
              <w:jc w:val="center"/>
              <w:ind w:right="564"/>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120" w:type="dxa"/>
            <w:vAlign w:val="bottom"/>
            <w:gridSpan w:val="2"/>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120" w:type="dxa"/>
            <w:vAlign w:val="bottom"/>
            <w:gridSpan w:val="2"/>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231"/>
        </w:trPr>
        <w:tc>
          <w:tcPr>
            <w:tcW w:w="27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CFF0FC"/>
            </w:tcBorders>
            <w:shd w:val="clear" w:color="auto" w:fill="CFF0FC"/>
          </w:tcPr>
          <w:p>
            <w:pPr>
              <w:spacing w:after="0"/>
              <w:rPr>
                <w:sz w:val="22"/>
                <w:szCs w:val="22"/>
                <w:color w:val="auto"/>
              </w:rPr>
            </w:pPr>
          </w:p>
        </w:tc>
        <w:tc>
          <w:tcPr>
            <w:tcW w:w="940" w:type="dxa"/>
            <w:vAlign w:val="bottom"/>
            <w:tcBorders>
              <w:top w:val="single" w:sz="8" w:color="CFF0FC"/>
            </w:tcBorders>
            <w:shd w:val="clear" w:color="auto" w:fill="CFF0FC"/>
          </w:tcPr>
          <w:p>
            <w:pPr>
              <w:spacing w:after="0"/>
              <w:rPr>
                <w:sz w:val="22"/>
                <w:szCs w:val="22"/>
                <w:color w:val="auto"/>
              </w:rPr>
            </w:pPr>
          </w:p>
        </w:tc>
        <w:tc>
          <w:tcPr>
            <w:tcW w:w="42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CFF0FC"/>
            </w:tcBorders>
            <w:shd w:val="clear" w:color="auto" w:fill="CFF0FC"/>
          </w:tcPr>
          <w:p>
            <w:pPr>
              <w:spacing w:after="0"/>
              <w:rPr>
                <w:sz w:val="22"/>
                <w:szCs w:val="22"/>
                <w:color w:val="auto"/>
              </w:rPr>
            </w:pPr>
          </w:p>
        </w:tc>
        <w:tc>
          <w:tcPr>
            <w:tcW w:w="960" w:type="dxa"/>
            <w:vAlign w:val="bottom"/>
            <w:tcBorders>
              <w:top w:val="single" w:sz="8" w:color="CFF0FC"/>
            </w:tcBorders>
            <w:shd w:val="clear" w:color="auto" w:fill="CFF0FC"/>
          </w:tcPr>
          <w:p>
            <w:pPr>
              <w:spacing w:after="0"/>
              <w:rPr>
                <w:sz w:val="22"/>
                <w:szCs w:val="22"/>
                <w:color w:val="auto"/>
              </w:rPr>
            </w:pPr>
          </w:p>
        </w:tc>
        <w:tc>
          <w:tcPr>
            <w:tcW w:w="400" w:type="dxa"/>
            <w:vAlign w:val="bottom"/>
            <w:tcBorders>
              <w:top w:val="single" w:sz="8" w:color="CFF0FC"/>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60" w:type="dxa"/>
            <w:vAlign w:val="bottom"/>
            <w:tcBorders>
              <w:top w:val="single" w:sz="8" w:color="CFF0FC"/>
            </w:tcBorders>
            <w:shd w:val="clear" w:color="auto" w:fill="CFF0FC"/>
          </w:tcPr>
          <w:p>
            <w:pPr>
              <w:spacing w:after="0"/>
              <w:rPr>
                <w:sz w:val="22"/>
                <w:szCs w:val="22"/>
                <w:color w:val="auto"/>
              </w:rPr>
            </w:pPr>
          </w:p>
        </w:tc>
        <w:tc>
          <w:tcPr>
            <w:tcW w:w="1060" w:type="dxa"/>
            <w:vAlign w:val="bottom"/>
            <w:tcBorders>
              <w:top w:val="single" w:sz="8" w:color="CFF0FC"/>
            </w:tcBorders>
            <w:shd w:val="clear" w:color="auto" w:fill="CFF0FC"/>
          </w:tcPr>
          <w:p>
            <w:pPr>
              <w:spacing w:after="0"/>
              <w:rPr>
                <w:sz w:val="22"/>
                <w:szCs w:val="22"/>
                <w:color w:val="auto"/>
              </w:rPr>
            </w:pPr>
          </w:p>
        </w:tc>
        <w:tc>
          <w:tcPr>
            <w:tcW w:w="300" w:type="dxa"/>
            <w:vAlign w:val="bottom"/>
            <w:tcBorders>
              <w:top w:val="single" w:sz="8" w:color="CFF0FC"/>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60" w:type="dxa"/>
            <w:vAlign w:val="bottom"/>
            <w:tcBorders>
              <w:top w:val="single" w:sz="8" w:color="CFF0FC"/>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top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96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06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92" w:right="80" w:hanging="492"/>
        <w:spacing w:after="0" w:line="261" w:lineRule="auto"/>
        <w:tabs>
          <w:tab w:leader="none" w:pos="4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$26 million and $46 million; and in our Other segment of $9 million and $15 million for the three and six months ended June 30, 2015, respectively.</w:t>
      </w:r>
    </w:p>
    <w:p>
      <w:pPr>
        <w:ind w:left="492" w:right="80" w:hanging="492"/>
        <w:spacing w:after="0" w:line="261" w:lineRule="auto"/>
        <w:tabs>
          <w:tab w:leader="none" w:pos="4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$22 million and $41 million; and in our Other segment of $4 million and $7 million for the three and six months ended June 30,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-568325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72"/>
          </w:cols>
          <w:pgMar w:left="248" w:top="371" w:right="1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Earnings Per Share Attributable to Common Stockholders</w:t>
      </w:r>
    </w:p>
    <w:p>
      <w:pPr>
        <w:spacing w:after="0" w:line="121" w:lineRule="exact"/>
        <w:rPr>
          <w:sz w:val="20"/>
          <w:szCs w:val="20"/>
          <w:color w:val="auto"/>
        </w:rPr>
      </w:pPr>
    </w:p>
    <w:p>
      <w:pPr>
        <w:ind w:right="40" w:firstLine="552"/>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Earnings Per Share Attributable to Common Stockholders</w:t>
      </w:r>
    </w:p>
    <w:p>
      <w:pPr>
        <w:spacing w:after="0" w:line="121" w:lineRule="exact"/>
        <w:rPr>
          <w:sz w:val="20"/>
          <w:szCs w:val="20"/>
          <w:color w:val="auto"/>
        </w:rPr>
      </w:pPr>
    </w:p>
    <w:p>
      <w:pPr>
        <w:ind w:right="40" w:firstLine="552"/>
        <w:spacing w:after="0" w:line="255" w:lineRule="auto"/>
        <w:rPr>
          <w:sz w:val="20"/>
          <w:szCs w:val="20"/>
          <w:color w:val="auto"/>
        </w:rPr>
      </w:pPr>
      <w:r>
        <w:rPr>
          <w:rFonts w:ascii="Times New Roman" w:cs="Times New Roman" w:eastAsia="Times New Roman" w:hAnsi="Times New Roman"/>
          <w:sz w:val="18"/>
          <w:szCs w:val="18"/>
          <w:color w:val="auto"/>
        </w:rPr>
        <w:t>We compute diluted earnings per share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ind w:right="80" w:firstLine="552"/>
        <w:spacing w:after="0" w:line="256" w:lineRule="auto"/>
        <w:rPr>
          <w:sz w:val="20"/>
          <w:szCs w:val="20"/>
          <w:color w:val="auto"/>
        </w:rPr>
      </w:pPr>
      <w:r>
        <w:rPr>
          <w:rFonts w:ascii="Times New Roman" w:cs="Times New Roman" w:eastAsia="Times New Roman" w:hAnsi="Times New Roman"/>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88"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in calculating Basic and Diluted EPS (shares in thousands and U.S. dollars in millions, except per share amounts) for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20" w:type="dxa"/>
            <w:vAlign w:val="bottom"/>
            <w:gridSpan w:val="5"/>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142,701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142,550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3"/>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CFF0FC"/>
            </w:tcBorders>
            <w:gridSpan w:val="3"/>
          </w:tcPr>
          <w:p>
            <w:pPr>
              <w:ind w:left="48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3"/>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 average shares used to compute Diluted</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tcBorders>
              <w:bottom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EPS</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145,959</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145,916</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145,724</w:t>
            </w:r>
          </w:p>
        </w:tc>
        <w:tc>
          <w:tcPr>
            <w:tcW w:w="80" w:type="dxa"/>
            <w:vAlign w:val="bottom"/>
            <w:tcBorders>
              <w:bottom w:val="single" w:sz="8" w:color="CFF0FC"/>
            </w:tcBorders>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gridSpan w:val="5"/>
            <w:vMerge w:val="restart"/>
          </w:tcPr>
          <w:p>
            <w:pPr>
              <w:ind w:left="1140"/>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4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4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9" w:right="219" w:bottom="1440" w:gutter="0" w:footer="0" w:header="0"/>
        </w:sectPr>
      </w:pPr>
    </w:p>
    <w:bookmarkStart w:id="23" w:name="page24"/>
    <w:bookmarkEnd w:id="23"/>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related to stock options and RSUs were excluded from the calculation of Diluted EPS because their effect would have been anti-dilutive for the periods presented (in thousands):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gridSpan w:val="3"/>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1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2014(2)</w:t>
            </w:r>
          </w:p>
        </w:tc>
        <w:tc>
          <w:tcPr>
            <w:tcW w:w="160" w:type="dxa"/>
            <w:vAlign w:val="bottom"/>
          </w:tcPr>
          <w:p>
            <w:pPr>
              <w:spacing w:after="0"/>
              <w:rPr>
                <w:sz w:val="19"/>
                <w:szCs w:val="19"/>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2014(2)</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860" w:right="200" w:hanging="334"/>
        <w:spacing w:after="0" w:line="257"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66,666 performance based options and 12,799 performance based RSUs representing the right to acquire 79,465 shares of common stock for which all targets required to trigger vesting have not been achieved; therefore, such awards were excluded from the calculation of weighted average shares used to compute Diluted EPS for those reporting periods.</w:t>
      </w:r>
    </w:p>
    <w:p>
      <w:pPr>
        <w:spacing w:after="0" w:line="1" w:lineRule="exact"/>
        <w:rPr>
          <w:rFonts w:ascii="Times New Roman" w:cs="Times New Roman" w:eastAsia="Times New Roman" w:hAnsi="Times New Roman"/>
          <w:sz w:val="18"/>
          <w:szCs w:val="18"/>
          <w:color w:val="auto"/>
        </w:rPr>
      </w:pPr>
    </w:p>
    <w:p>
      <w:pPr>
        <w:ind w:left="860" w:right="200" w:hanging="334"/>
        <w:spacing w:after="0" w:line="255"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66,666 performance based options and 44,000 performance based RSUs representing the right to acquire 110,666 shares of common stock for which all targets required to trigger vesting have not been achieved; therefore, such awards were excluded from the calculation of weighted average shares used to compute Diluted EPS for those reporting periods.</w:t>
      </w:r>
    </w:p>
    <w:p>
      <w:pPr>
        <w:spacing w:after="0" w:line="186"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As of June 30, 2015, Liberty TripAdvisor Holdings, Inc. (“LTRIP”) beneficially owned 18,159,752 shares of our common stock and 12,799,999 shares of our Class B common stock, which shares constitute 13.8% of the outstanding shares of common stock and 100% of the outstanding shares of Class B common stock. Assuming the conversion of all of LTRIP’s shares of Class B common stock into common stock, LTRIP would beneficially own 21.5% of the outstanding common stock. Because each share of Class B common stock generally is entitled to ten votes per share and each share of common stock is entitled to one vote per share, LTRIP may be deemed to beneficially own equity securities representing approximately 56.4% of our voting power.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related party transactions with LTRIP during the three and six months ended June 30,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51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2014.</w:t>
      </w:r>
    </w:p>
    <w:p>
      <w:pPr>
        <w:spacing w:after="0" w:line="72"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2014,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9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Certain revenue information in this section entitled "— Revenue by Product— Foreign Exchange Impact on Revenue" is presented on a constant currency basis. This information is a non-GAAP financial measure. To calculate revenue on a constant currency basis, we translated revenue for the three and six months ended June 30, 2015 using the prior year's quarterly average exchange rates for our settlement currencies other than the U.S. dollar. This non-GAAP financial measure is not intended to be considered in isolation or as a substitute for, or superior to, financial information prepared and presented in accordance with GAAP. This measure may be different from non-GAAP financial measures used by other companies, limiting its usefulness for comparison purposes. Moreover, presentation of revenue on a constant currency basis is provided for year-over-year comparison purposes, and investors should be cautioned that the effect of changing foreign currency exchange rates has an actual effect on our operating results. We believe this non-GAAP financial measure provides investors with useful supplemental information about the financial performance of our business, enables comparison of financial results between periods where certain items may vary independent of business performance, and allow for greater transparency with respect to key metrics used by management in operating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80" w:firstLine="552"/>
        <w:spacing w:after="0" w:line="258" w:lineRule="auto"/>
        <w:rPr>
          <w:sz w:val="20"/>
          <w:szCs w:val="20"/>
          <w:color w:val="auto"/>
        </w:rPr>
      </w:pPr>
      <w:r>
        <w:rPr>
          <w:rFonts w:ascii="Times New Roman" w:cs="Times New Roman" w:eastAsia="Times New Roman" w:hAnsi="Times New Roman"/>
          <w:sz w:val="18"/>
          <w:szCs w:val="18"/>
          <w:color w:val="auto"/>
        </w:rPr>
        <w:t>TripAdvisor, Inc.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branded websites include tripadvisor.com in the United States and localized versions of the TripAdvisor website in 45 countries worldwide. Our TripAdvisor-branded websites reached 375 million average monthly unique visitors during the quarter ended June 30, 2015, according to our internal log files. We currently feature 250 million reviews and opinions on 1.7 million accommodations – including 950,000 hotels and accommodations and 720,000 vacation rentals—as well as 3.0 million restaurants and 560,000 attractions around the world. In addition to user-generated content, our websites feature price comparison tools and links to partner websites, including travel advertisers, on which users can book their travel arrangements. Users may now also complete hotel bookings directly without our partners through tripadvisor.com and also through the TripAdvisor mobile application where coverage is available. In addition to the flagship TripAdvisor brand, we now manage and operate 24 other travel media brands, connected by the common goal of providing users the most comprehensive travel-planning and trip-taking resources in the travel industry.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right="100" w:firstLine="552"/>
        <w:spacing w:after="0" w:line="282" w:lineRule="auto"/>
        <w:rPr>
          <w:sz w:val="20"/>
          <w:szCs w:val="20"/>
          <w:color w:val="auto"/>
        </w:rPr>
      </w:pPr>
      <w:r>
        <w:rPr>
          <w:rFonts w:ascii="Times New Roman" w:cs="Times New Roman" w:eastAsia="Times New Roman" w:hAnsi="Times New Roman"/>
          <w:sz w:val="18"/>
          <w:szCs w:val="18"/>
          <w:color w:val="auto"/>
        </w:rPr>
        <w:t>Our long-term financial results are principally dependent on our ability to grow click-based advertising revenue, or CPC revenue. We are investing in areas of potential CPC revenue growth, including enabling users to transact on our site, international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5" w:name="page26"/>
    <w:bookmarkEnd w:id="25"/>
    <w:p>
      <w:pPr>
        <w:ind w:right="40"/>
        <w:spacing w:after="0" w:line="256" w:lineRule="auto"/>
        <w:rPr>
          <w:sz w:val="20"/>
          <w:szCs w:val="20"/>
          <w:color w:val="auto"/>
        </w:rPr>
      </w:pPr>
      <w:r>
        <w:rPr>
          <w:rFonts w:ascii="Times New Roman" w:cs="Times New Roman" w:eastAsia="Times New Roman" w:hAnsi="Times New Roman"/>
          <w:sz w:val="18"/>
          <w:szCs w:val="18"/>
          <w:color w:val="auto"/>
        </w:rPr>
        <w:t>expansion and innovations in the mobile user experience. We are also investing in display-based advertising, Business Listings, Attractions, Restaurants and Vacation Rentals. As the largest online travel website, we believe we are an attractive marketing channel for advertisers—including hotel chains, independent hoteliers, online travel agencies, destination marketing organizations, and other travel-related and non-travel related product and service providers— who seek to sell their products and services to our large user base. The key drivers of our click-based and display-based advertising revenue are described below, as well as a summary of our key growth areas, current trends impacting our business and our reporting segments, which currently consists of our Hotel segment and Other segment.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Click-Based Advertising Revenue</w:t>
      </w:r>
    </w:p>
    <w:p>
      <w:pPr>
        <w:spacing w:after="0" w:line="11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2015, 66% and 67%, respectively, of our total revenue came from our CPC product. For both the three and six months ended June 30, 2014, 73% of our total revenue came from our CPC product. All of our CPC revenue is included in our Hotel segment. The key drivers of our CPC revenue include the growth in monthly unique hotel shoppers and revenue per hotel shopper.</w:t>
      </w:r>
    </w:p>
    <w:p>
      <w:pPr>
        <w:spacing w:after="0" w:line="68" w:lineRule="exact"/>
        <w:rPr>
          <w:sz w:val="20"/>
          <w:szCs w:val="20"/>
          <w:color w:val="auto"/>
        </w:rPr>
      </w:pPr>
    </w:p>
    <w:p>
      <w:pPr>
        <w:ind w:left="820" w:hanging="294"/>
        <w:spacing w:after="0" w:line="253"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shoppers: We believe total traffic growth, or growth in monthly visits from unique visitors, is reflective of our overall brand growth. Additionally, we track and analyze sub-segments of our traffic and their correlation to revenue generation and utilize data regarding hotel shoppers as a key indicator of revenue growth. We use the term “hotel shoppers” to refer to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devices (for which usage trends continue to evolve) and international growth, quarterly and annual hotel shopper growth is difficult to forecast. Unique hotel shoppers on TripAdvisor sites increased 22% and 24% for the three and six months ended June 30, 2015, respectively, and increased 17% and 14% for the three and six months ended June 30, 2014, respectively, according to our log files. The acceleration of hotel shopper growth for the three and six months ended June 30, 2015 is primarily due to success in our online marketing strategy, a growing number of hotel shoppers visiting our websites on mobile devices, as well as easing comparatives for search engine optimization (“SEO”) due to lower hotel shopper growth in the three and six months ended June 30, 2014. Increasing the number of hotel shoppers on our sites remains a top strategic priority.</w:t>
      </w:r>
    </w:p>
    <w:p>
      <w:pPr>
        <w:spacing w:after="0" w:line="84" w:lineRule="exact"/>
        <w:rPr>
          <w:rFonts w:ascii="Times New Roman" w:cs="Times New Roman" w:eastAsia="Times New Roman" w:hAnsi="Times New Roman"/>
          <w:sz w:val="18"/>
          <w:szCs w:val="18"/>
          <w:color w:val="auto"/>
        </w:rPr>
      </w:pPr>
    </w:p>
    <w:p>
      <w:pPr>
        <w:jc w:val="both"/>
        <w:ind w:left="820" w:right="200" w:hanging="294"/>
        <w:spacing w:after="0" w:line="266"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hotel shopper: Revenue per hotel shopper is designed to measure how effectively we convert hotel shoppers into revenue. Revenue per hotel shopper is made up of three factors—the number of monthly unique hotel shoppers, the rate of conversion of a hotel shopper to a paid click and the price per click that we receive.</w:t>
      </w:r>
    </w:p>
    <w:p>
      <w:pPr>
        <w:spacing w:after="0" w:line="66" w:lineRule="exact"/>
        <w:rPr>
          <w:rFonts w:ascii="Times New Roman" w:cs="Times New Roman" w:eastAsia="Times New Roman" w:hAnsi="Times New Roman"/>
          <w:sz w:val="18"/>
          <w:szCs w:val="18"/>
          <w:color w:val="auto"/>
        </w:rPr>
      </w:pPr>
    </w:p>
    <w:p>
      <w:pPr>
        <w:ind w:left="1440" w:right="300" w:hanging="276"/>
        <w:spacing w:after="0" w:line="259" w:lineRule="auto"/>
        <w:tabs>
          <w:tab w:leader="none" w:pos="1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Conversion of a hotel shopper to a paid click on a TripAdvisor site is driven primarily by three factors: merchandising,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Hotel shoppers visiting via mobile generally convert to a paid click at a lower rate than hotel shoppers visiting via desktop and tablet.</w:t>
      </w:r>
    </w:p>
    <w:p>
      <w:pPr>
        <w:spacing w:after="0" w:line="71" w:lineRule="exact"/>
        <w:rPr>
          <w:rFonts w:ascii="Times New Roman" w:cs="Times New Roman" w:eastAsia="Times New Roman" w:hAnsi="Times New Roman"/>
          <w:sz w:val="18"/>
          <w:szCs w:val="18"/>
          <w:color w:val="auto"/>
        </w:rPr>
      </w:pPr>
    </w:p>
    <w:p>
      <w:pPr>
        <w:ind w:left="1440" w:right="460" w:hanging="276"/>
        <w:spacing w:after="0" w:line="284" w:lineRule="auto"/>
        <w:tabs>
          <w:tab w:leader="none" w:pos="1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per click (CPC): </w:t>
      </w:r>
      <w:r>
        <w:rPr>
          <w:rFonts w:ascii="Times New Roman" w:cs="Times New Roman" w:eastAsia="Times New Roman" w:hAnsi="Times New Roman"/>
          <w:sz w:val="18"/>
          <w:szCs w:val="18"/>
          <w:color w:val="auto"/>
        </w:rPr>
        <w:t>Cost per click is the effective price that partners are willing to pay for a hotel shopper lead,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competitive bidding process. CPCs are generally lower in emerging international markets as well as on mobile.</w:t>
      </w:r>
    </w:p>
    <w:p>
      <w:pPr>
        <w:spacing w:after="0" w:line="160"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Revenue per hotel shopper decreased 6% and 5% for the three and six months ended June 30, 2015, respectively, and increased 11% and 8% for the three and six months ended June 30, 2014, respectively, according to our log files. The decrease in revenue per hotel shopper for the three and six months ended June 30, 2015, was primarily due to fluctuations in foreign exchange rates, primarily due to the prolonged weakness of the Euro, which decreased our CPCs, in addition to a growing number of hotel shoppers visiting our websites on mobile devices.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Display-Based Advertising Revenue</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For both the three and six months ended June 30, 2015, 10%, of our total revenue came from our display-based advertising products. For both the three and six months ended June 30, 2014, 11%, of our total revenue came from our display-based advertising products. Substantially all of our display-based advertising revenue is included in our Hotel segment. The key drivers of our display-based advertising revenue include the growth in number of impressions sold, or the number of times an ad is displayed on our site, and the revenue we receive for such impressions, measured in cost per thousand impressions (“CPM”). According to our log files, the number of impressions sold increased 7% and 10% for the three and six months ended June 30, 2015, respectively, and increased 11% and 19% for the three and six months ended June 30, 2014, respectively, while pricing increased 5% and 2% for the three and six months ended June 30, 2015, respectively, and increased 4% and 2% for the three and six months ended June 30, 2014,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Key Growth Areas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continue to invest in areas of potential growth, including our content and community, product innovation, and international expansion.</w:t>
      </w:r>
    </w:p>
    <w:p>
      <w:pPr>
        <w:spacing w:after="0" w:line="223" w:lineRule="exact"/>
        <w:rPr>
          <w:sz w:val="20"/>
          <w:szCs w:val="20"/>
          <w:color w:val="auto"/>
        </w:rPr>
      </w:pPr>
    </w:p>
    <w:p>
      <w:pPr>
        <w:jc w:val="both"/>
        <w:ind w:right="80" w:firstLine="552"/>
        <w:spacing w:after="0" w:line="267" w:lineRule="auto"/>
        <w:rPr>
          <w:sz w:val="20"/>
          <w:szCs w:val="20"/>
          <w:color w:val="auto"/>
        </w:rPr>
      </w:pPr>
      <w:r>
        <w:rPr>
          <w:rFonts w:ascii="Times New Roman" w:cs="Times New Roman" w:eastAsia="Times New Roman" w:hAnsi="Times New Roman"/>
          <w:sz w:val="18"/>
          <w:szCs w:val="18"/>
          <w:i w:val="1"/>
          <w:iCs w:val="1"/>
          <w:color w:val="auto"/>
        </w:rPr>
        <w:t>Content &amp; Community</w:t>
      </w:r>
      <w:r>
        <w:rPr>
          <w:rFonts w:ascii="Times New Roman" w:cs="Times New Roman" w:eastAsia="Times New Roman" w:hAnsi="Times New Roman"/>
          <w:sz w:val="18"/>
          <w:szCs w:val="18"/>
          <w:color w:val="auto"/>
        </w:rPr>
        <w:t>. TripAdvisor is a website on which travelers can research content and share their travel experiences with the rest of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Establishing and nurturing a sense of community among users is a key priority and a competitive advantage for TripAdvisor. As a result, we continue to look for ways to make it easier for users to plan, compare and book their perfect trip on TripAdvisor as well as to share their experiences.</w:t>
      </w:r>
    </w:p>
    <w:p>
      <w:pPr>
        <w:spacing w:after="0" w:line="174" w:lineRule="exact"/>
        <w:rPr>
          <w:sz w:val="20"/>
          <w:szCs w:val="20"/>
          <w:color w:val="auto"/>
        </w:rPr>
      </w:pPr>
    </w:p>
    <w:p>
      <w:pPr>
        <w:ind w:right="80" w:firstLine="552"/>
        <w:spacing w:after="0" w:line="259" w:lineRule="auto"/>
        <w:rPr>
          <w:sz w:val="20"/>
          <w:szCs w:val="20"/>
          <w:color w:val="auto"/>
        </w:rPr>
      </w:pPr>
      <w:r>
        <w:rPr>
          <w:rFonts w:ascii="Times New Roman" w:cs="Times New Roman" w:eastAsia="Times New Roman" w:hAnsi="Times New Roman"/>
          <w:sz w:val="18"/>
          <w:szCs w:val="18"/>
          <w:i w:val="1"/>
          <w:iCs w:val="1"/>
          <w:color w:val="auto"/>
        </w:rPr>
        <w:t>Mobile</w:t>
      </w:r>
      <w:r>
        <w:rPr>
          <w:rFonts w:ascii="Times New Roman" w:cs="Times New Roman" w:eastAsia="Times New Roman" w:hAnsi="Times New Roman"/>
          <w:sz w:val="18"/>
          <w:szCs w:val="18"/>
          <w:color w:val="auto"/>
        </w:rPr>
        <w:t>. Innovating and improving our mobile products is a key priority. As of June 30, 2015, we reached 215 million downloads of our mobile apps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average monthly unique visitors via smartphone and tablet devices grew over 13% year-over-year from 141 million to 159 million, according to our internal log files. We anticipate that the rate of growth in mobile visitors will continue to exceed the growth rate of our overall unique monthly visitors, and that an increasing proportion of users will use mobile devices to access the full range of services available on our sites. We are investing significant resources to improve the features, functionality and commercialization of our mobile websites and applications.</w:t>
      </w:r>
    </w:p>
    <w:p>
      <w:pPr>
        <w:spacing w:after="0" w:line="180"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Business Listings</w:t>
      </w:r>
      <w:r>
        <w:rPr>
          <w:rFonts w:ascii="Times New Roman" w:cs="Times New Roman" w:eastAsia="Times New Roman" w:hAnsi="Times New Roman"/>
          <w:sz w:val="18"/>
          <w:szCs w:val="18"/>
          <w:color w:val="auto"/>
        </w:rPr>
        <w:t>. Our Business Listings product enables hotel and accommodation owners to buy placements listing pertinent information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on TripAdvisor, bringing them closer to potential customers and increasing awareness, engagement, and potentially, direct bookings. In the year ended December 31, 2014, we grew our Business Listings customer base 18% to 81,000 subscribers. We continue to focus on building our sales force and improving our product features to grow our subscriber base.</w:t>
      </w:r>
    </w:p>
    <w:p>
      <w:pPr>
        <w:spacing w:after="0" w:line="180" w:lineRule="exact"/>
        <w:rPr>
          <w:sz w:val="20"/>
          <w:szCs w:val="20"/>
          <w:color w:val="auto"/>
        </w:rPr>
      </w:pPr>
    </w:p>
    <w:p>
      <w:pPr>
        <w:ind w:right="120" w:firstLine="58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Attractions &amp; Restaurants. </w:t>
      </w:r>
      <w:r>
        <w:rPr>
          <w:rFonts w:ascii="Times New Roman" w:cs="Times New Roman" w:eastAsia="Times New Roman" w:hAnsi="Times New Roman"/>
          <w:sz w:val="18"/>
          <w:szCs w:val="18"/>
          <w:color w:val="auto"/>
        </w:rPr>
        <w:t>A significant percentage of our annual unique users are not hotel shoppers and visit TripAdvisor sites without navigating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pages that contain a listing of hotels in a city or a specific hotel’s page. TripAdvisor has information and user-generated content on 3.0 million restaurants, and 560,000 attractions around the world. We believe TripAdvisor has a unique opportunity to monetize its community of these non-hotel shoppers looking for places to eat and things to do. With the acquisitions of Lafourchette and similar businesses for online restaurant reservations, and Viator for online bookable tours and attractions, we are attempting to match more users with more businesses.</w:t>
      </w:r>
    </w:p>
    <w:p>
      <w:pPr>
        <w:spacing w:after="0" w:line="180"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offer individual property owners and property managers the ability to list using a free-to-list, commission-based structure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subscription-based fee option. In the six months ended June 30, 2015, Vacation Rental property listings grew 16% to 720,000 properties, driven primarily by strong listings growth in our free-to-list model. We believe our highly-engaged and motivated user community creates a competitive advantage for us in this market.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Trends Affecting Our Business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are a number of trends that affect our business. The following are examples of some of the current trends affecting our business:</w:t>
      </w:r>
    </w:p>
    <w:p>
      <w:pPr>
        <w:spacing w:after="0" w:line="115"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Increasing Competition. </w:t>
      </w:r>
      <w:r>
        <w:rPr>
          <w:rFonts w:ascii="Times New Roman" w:cs="Times New Roman" w:eastAsia="Times New Roman" w:hAnsi="Times New Roman"/>
          <w:sz w:val="18"/>
          <w:szCs w:val="18"/>
          <w:color w:val="auto"/>
        </w:rPr>
        <w:t>The travel review industry and, more generally, the business of collecting and aggregating travel-related resources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continue to be increasingly competitive. In recent years, an increasing number of companies, such as search companies Google, Inc. and Baidu.com, Inc. and large online travel agencies, or OTAs, have begun to collect and aggregate travel information and resources. We plan to continue to invest in order to remain the leading source of travel reviews as well as continue to enhance our user experience. In addition, we face strong competition in our Other segment: Attractions, Restaurants and Vacation Rentals. Refer to Item 1. “Business - Competition” in our Annual Report on Form 10-K for the year ended December 31, 2014 for additional information on our competition.</w:t>
      </w:r>
    </w:p>
    <w:p>
      <w:pPr>
        <w:spacing w:after="0" w:line="183" w:lineRule="exact"/>
        <w:rPr>
          <w:sz w:val="20"/>
          <w:szCs w:val="20"/>
          <w:color w:val="auto"/>
        </w:rPr>
      </w:pPr>
    </w:p>
    <w:p>
      <w:pPr>
        <w:ind w:firstLine="55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Increasing Use of Internet and Social Media to Access Travel Information. </w:t>
      </w:r>
      <w:r>
        <w:rPr>
          <w:rFonts w:ascii="Times New Roman" w:cs="Times New Roman" w:eastAsia="Times New Roman" w:hAnsi="Times New Roman"/>
          <w:sz w:val="18"/>
          <w:szCs w:val="18"/>
          <w:color w:val="auto"/>
        </w:rPr>
        <w:t>Commerce, information and advertising continue to migrate to the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away from traditional media outlets. We believe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Over the years, we have made significant progress using social networking to leverage the expanding use of these channels and enhance traffic diversification and user engagement. We will continue to adapt our user experience in response to a changing Internet environment and usage trends.</w:t>
      </w:r>
    </w:p>
    <w:p>
      <w:pPr>
        <w:spacing w:after="0" w:line="183" w:lineRule="exact"/>
        <w:rPr>
          <w:sz w:val="20"/>
          <w:szCs w:val="20"/>
          <w:color w:val="auto"/>
        </w:rPr>
      </w:pPr>
    </w:p>
    <w:p>
      <w:pPr>
        <w:ind w:right="20" w:firstLine="58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Increasing Use of Devices Other than Desktop Computers. </w:t>
      </w:r>
      <w:r>
        <w:rPr>
          <w:rFonts w:ascii="Times New Roman" w:cs="Times New Roman" w:eastAsia="Times New Roman" w:hAnsi="Times New Roman"/>
          <w:sz w:val="18"/>
          <w:szCs w:val="18"/>
          <w:color w:val="auto"/>
        </w:rPr>
        <w:t>To access the internet, users are increasingly using devices other than desktop computers,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mobile phones, smartphones and handheld computers such as notebooks and tablets. To address these 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display advertising, our users could decide to access our products primarily through mobile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27" w:name="page28"/>
    <w:bookmarkEnd w:id="27"/>
    <w:p>
      <w:pPr>
        <w:ind w:right="20"/>
        <w:spacing w:after="0" w:line="266" w:lineRule="auto"/>
        <w:rPr>
          <w:sz w:val="20"/>
          <w:szCs w:val="20"/>
          <w:color w:val="auto"/>
        </w:rPr>
      </w:pPr>
      <w:r>
        <w:rPr>
          <w:rFonts w:ascii="Times New Roman" w:cs="Times New Roman" w:eastAsia="Times New Roman" w:hAnsi="Times New Roman"/>
          <w:sz w:val="18"/>
          <w:szCs w:val="18"/>
          <w:color w:val="auto"/>
        </w:rPr>
        <w:t>phone devices. We do display graphic advertising on smartphones; however, our mobile phone monetization strategies are still developing, as mobile phone monetization is significantly less than desktop and tablet monetization. Mobile phone growth and development remains a key strategy and we will continue to invest and innovate in this growing platform to help us maintain and grow our user base, engagement and monetization over the long term.</w:t>
      </w:r>
    </w:p>
    <w:p>
      <w:pPr>
        <w:spacing w:after="0" w:line="174" w:lineRule="exact"/>
        <w:rPr>
          <w:sz w:val="20"/>
          <w:szCs w:val="20"/>
          <w:color w:val="auto"/>
        </w:rPr>
      </w:pPr>
    </w:p>
    <w:p>
      <w:pPr>
        <w:ind w:right="20" w:firstLine="55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Continued Reliance on Click-Based Advertising Revenue. </w:t>
      </w:r>
      <w:r>
        <w:rPr>
          <w:rFonts w:ascii="Times New Roman" w:cs="Times New Roman" w:eastAsia="Times New Roman" w:hAnsi="Times New Roman"/>
          <w:sz w:val="18"/>
          <w:szCs w:val="18"/>
          <w:color w:val="auto"/>
        </w:rPr>
        <w:t>In recent years, the majority of our revenue growth resulted from higher click-based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 due to increased traffic on our websites and an increase in the volume of clicks on our advertisers’ placements. Although click-based advertising revenue growth has generally been driven by traffic volume, we remain focused on the various other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w:t>
      </w:r>
    </w:p>
    <w:p>
      <w:pPr>
        <w:spacing w:after="0" w:line="183" w:lineRule="exact"/>
        <w:rPr>
          <w:sz w:val="20"/>
          <w:szCs w:val="20"/>
          <w:color w:val="auto"/>
        </w:rPr>
      </w:pPr>
    </w:p>
    <w:p>
      <w:pPr>
        <w:ind w:firstLine="55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Risks Associated with Transaction-Based Revenue. </w:t>
      </w:r>
      <w:r>
        <w:rPr>
          <w:rFonts w:ascii="Times New Roman" w:cs="Times New Roman" w:eastAsia="Times New Roman" w:hAnsi="Times New Roman"/>
          <w:sz w:val="18"/>
          <w:szCs w:val="18"/>
          <w:color w:val="auto"/>
        </w:rPr>
        <w:t>We currently derive only a small percentage of our revenue from transaction-based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these types of offerings create additional risks and expenses. Transaction revenue is derived from making online bookings available for, among other things, hotel rooms, vacation rentals and destination activities. During the course of making these arrangements, we collect, use, transmit and store personal information and other consumer data. The protection of this data is critically important to us. An increasing number of websites, including the website operated by our subsidiary Viator, have reported compromises of their systems and the data stored within those systems. We rely on strong encryption, authentication and network perimeter security to effectively secure confidential information; however, despite our security measures, our brands’ information technologies and infrastructures may be vulnerable to cyber-attacks or security incidents due to system configurations, employee error, malfeasance or other vulnerabilities. Advances in computer capabilities, new discoveries in the field of cryptography or other developments may result in the breach or compromise of the technology used by us to protect transaction data. In the future, we expect to expend additional resources to enhance our security measures, protect against security breaches and/or to address problems caused by breaches. As we expand our transaction-based businesses, the challenges we face will become more difficult and the measures we must take to protect against them will become more costly.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420" w:firstLine="548"/>
        <w:spacing w:after="0" w:line="261" w:lineRule="auto"/>
        <w:rPr>
          <w:sz w:val="20"/>
          <w:szCs w:val="20"/>
          <w:color w:val="auto"/>
        </w:rPr>
      </w:pPr>
      <w:r>
        <w:rPr>
          <w:rFonts w:ascii="Times New Roman" w:cs="Times New Roman" w:eastAsia="Times New Roman" w:hAnsi="Times New Roman"/>
          <w:sz w:val="18"/>
          <w:szCs w:val="18"/>
          <w:color w:val="auto"/>
        </w:rPr>
        <w:t>Our reporting structure includes two reportable segments: Hotel and Other. Our Other segment consists of the aggregation of three operating segments: our Attractions, Restaurants and Vacation Rentals businesses. The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w:t>
      </w:r>
    </w:p>
    <w:p>
      <w:pPr>
        <w:spacing w:after="0" w:line="178" w:lineRule="exact"/>
        <w:rPr>
          <w:sz w:val="20"/>
          <w:szCs w:val="20"/>
          <w:color w:val="auto"/>
        </w:rPr>
      </w:pPr>
    </w:p>
    <w:p>
      <w:pPr>
        <w:jc w:val="both"/>
        <w:ind w:right="100" w:firstLine="552"/>
        <w:spacing w:after="0" w:line="267" w:lineRule="auto"/>
        <w:rPr>
          <w:sz w:val="20"/>
          <w:szCs w:val="20"/>
          <w:color w:val="auto"/>
        </w:rPr>
      </w:pPr>
      <w:r>
        <w:rPr>
          <w:rFonts w:ascii="Times New Roman" w:cs="Times New Roman" w:eastAsia="Times New Roman" w:hAnsi="Times New Roman"/>
          <w:sz w:val="18"/>
          <w:szCs w:val="18"/>
          <w:color w:val="auto"/>
        </w:rPr>
        <w:t>For further description of our segments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 our Annual Report on Form 10-K for the year ended December 31, 2014 and “Note 13— Segment Information” and “Reclassifications” in “Note 1— Business Description and Basis of Presentation” in the notes to the unaudited consolidated financial statements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June 30, 2015, we had approximately 3,000 employees. Of these employees, approximately 43% were based in the United States. We believe we have good relationships with our employees, including relationships with employees represented by international works councils or other similar organizations.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120" w:firstLine="552"/>
        <w:spacing w:after="0" w:line="261" w:lineRule="auto"/>
        <w:rPr>
          <w:sz w:val="20"/>
          <w:szCs w:val="20"/>
          <w:color w:val="auto"/>
        </w:rPr>
      </w:pPr>
      <w:r>
        <w:rPr>
          <w:rFonts w:ascii="Times New Roman" w:cs="Times New Roman" w:eastAsia="Times New Roman" w:hAnsi="Times New Roman"/>
          <w:sz w:val="18"/>
          <w:szCs w:val="18"/>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right="60"/>
        <w:spacing w:after="0" w:line="261" w:lineRule="auto"/>
        <w:rPr>
          <w:sz w:val="20"/>
          <w:szCs w:val="20"/>
          <w:color w:val="auto"/>
        </w:rPr>
      </w:pPr>
      <w:r>
        <w:rPr>
          <w:rFonts w:ascii="Times New Roman" w:cs="Times New Roman" w:eastAsia="Times New Roman" w:hAnsi="Times New Roman"/>
          <w:sz w:val="18"/>
          <w:szCs w:val="18"/>
          <w:color w:val="auto"/>
        </w:rPr>
        <w:t>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0"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4" w:lineRule="exact"/>
        <w:rPr>
          <w:sz w:val="20"/>
          <w:szCs w:val="20"/>
          <w:color w:val="auto"/>
        </w:rPr>
      </w:pPr>
    </w:p>
    <w:p>
      <w:pPr>
        <w:ind w:left="820" w:hanging="294"/>
        <w:spacing w:after="0" w:line="235" w:lineRule="auto"/>
        <w:tabs>
          <w:tab w:leader="none" w:pos="8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w:t>
      </w:r>
    </w:p>
    <w:p>
      <w:pPr>
        <w:spacing w:after="0" w:line="89" w:lineRule="exact"/>
        <w:rPr>
          <w:rFonts w:ascii="Times New Roman" w:cs="Times New Roman" w:eastAsia="Times New Roman" w:hAnsi="Times New Roman"/>
          <w:sz w:val="22"/>
          <w:szCs w:val="22"/>
          <w:color w:val="auto"/>
        </w:rPr>
      </w:pPr>
    </w:p>
    <w:p>
      <w:pPr>
        <w:ind w:left="820" w:right="100" w:hanging="294"/>
        <w:spacing w:after="0" w:line="235" w:lineRule="auto"/>
        <w:tabs>
          <w:tab w:leader="none" w:pos="8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98"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For a discussion of new accounting pronouncements, see “Note 2— Significant Accounting Policies,” in the notes to the unaudited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 (1)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and marketing (2)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content (2)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common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Excludes amortization as follows:</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 included 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website development costs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depreciation</w:t>
            </w:r>
          </w:p>
        </w:tc>
        <w:tc>
          <w:tcPr>
            <w:tcW w:w="8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Includes stock-based compensation as follows:</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 and content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(3) See “Adjusted EBITDA” below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Adjusted EBITDA, which is a non-GAAP financial measure. We have provided a reconciliation below of Adjusted EBITDA to net income, the most directly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84" w:right="339" w:bottom="1440" w:gutter="0" w:footer="0" w:header="0"/>
        </w:sectPr>
      </w:pPr>
    </w:p>
    <w:bookmarkStart w:id="30" w:name="page31"/>
    <w:bookmarkEnd w:id="30"/>
    <w:p>
      <w:pPr>
        <w:ind w:right="540"/>
        <w:spacing w:after="0" w:line="266" w:lineRule="auto"/>
        <w:rPr>
          <w:sz w:val="20"/>
          <w:szCs w:val="20"/>
          <w:color w:val="auto"/>
        </w:rPr>
      </w:pPr>
      <w:r>
        <w:rPr>
          <w:rFonts w:ascii="Times New Roman" w:cs="Times New Roman" w:eastAsia="Times New Roman" w:hAnsi="Times New Roman"/>
          <w:sz w:val="18"/>
          <w:szCs w:val="18"/>
          <w:color w:val="auto"/>
        </w:rPr>
        <w:t>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76"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by excluding certain non-cash expenses, such as stock-based compensation, stock-settled obligations, asset impairments,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85"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35" w:lineRule="exact"/>
        <w:rPr>
          <w:sz w:val="20"/>
          <w:szCs w:val="20"/>
          <w:color w:val="auto"/>
        </w:rPr>
      </w:pPr>
    </w:p>
    <w:p>
      <w:pPr>
        <w:ind w:left="820" w:hanging="294"/>
        <w:spacing w:after="0"/>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98"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98" w:lineRule="exact"/>
        <w:rPr>
          <w:rFonts w:ascii="Times New Roman" w:cs="Times New Roman" w:eastAsia="Times New Roman" w:hAnsi="Times New Roman"/>
          <w:sz w:val="18"/>
          <w:szCs w:val="18"/>
          <w:color w:val="auto"/>
        </w:rPr>
      </w:pPr>
    </w:p>
    <w:p>
      <w:pPr>
        <w:ind w:left="820" w:hanging="294"/>
        <w:spacing w:after="0"/>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consider the potentially dilutive impact of stock-based compensation or future settlement of obligations in stock;</w:t>
      </w:r>
    </w:p>
    <w:p>
      <w:pPr>
        <w:spacing w:after="0" w:line="116" w:lineRule="exact"/>
        <w:rPr>
          <w:rFonts w:ascii="Times New Roman" w:cs="Times New Roman" w:eastAsia="Times New Roman" w:hAnsi="Times New Roman"/>
          <w:sz w:val="22"/>
          <w:szCs w:val="22"/>
          <w:color w:val="auto"/>
        </w:rPr>
      </w:pPr>
    </w:p>
    <w:p>
      <w:pPr>
        <w:ind w:left="820" w:right="140" w:hanging="294"/>
        <w:spacing w:after="0" w:line="235" w:lineRule="auto"/>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1" w:lineRule="exact"/>
        <w:rPr>
          <w:rFonts w:ascii="Times New Roman" w:cs="Times New Roman" w:eastAsia="Times New Roman" w:hAnsi="Times New Roman"/>
          <w:sz w:val="22"/>
          <w:szCs w:val="22"/>
          <w:color w:val="auto"/>
        </w:rPr>
      </w:pPr>
    </w:p>
    <w:p>
      <w:pPr>
        <w:ind w:left="820" w:hanging="294"/>
        <w:spacing w:after="0"/>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reflect tax payments that may represent a reduction in cash available to us; and</w:t>
      </w:r>
    </w:p>
    <w:p>
      <w:pPr>
        <w:spacing w:after="0" w:line="116" w:lineRule="exact"/>
        <w:rPr>
          <w:rFonts w:ascii="Times New Roman" w:cs="Times New Roman" w:eastAsia="Times New Roman" w:hAnsi="Times New Roman"/>
          <w:sz w:val="22"/>
          <w:szCs w:val="22"/>
          <w:color w:val="auto"/>
        </w:rPr>
      </w:pPr>
    </w:p>
    <w:p>
      <w:pPr>
        <w:ind w:left="820" w:right="220" w:hanging="294"/>
        <w:spacing w:after="0" w:line="235" w:lineRule="auto"/>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98"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Adjusted EBITDA alongside other financial performance measures, including various cash flow metrics, net income and our other GAAP results.</w:t>
      </w:r>
    </w:p>
    <w:p>
      <w:pPr>
        <w:spacing w:after="0" w:line="162" w:lineRule="exact"/>
        <w:rPr>
          <w:sz w:val="20"/>
          <w:szCs w:val="20"/>
          <w:color w:val="auto"/>
        </w:rPr>
      </w:pPr>
    </w:p>
    <w:p>
      <w:pPr>
        <w:ind w:firstLine="552"/>
        <w:spacing w:after="0" w:line="282" w:lineRule="auto"/>
        <w:rPr>
          <w:sz w:val="20"/>
          <w:szCs w:val="20"/>
          <w:color w:val="auto"/>
        </w:rPr>
      </w:pPr>
      <w:r>
        <w:rPr>
          <w:rFonts w:ascii="Times New Roman" w:cs="Times New Roman" w:eastAsia="Times New Roman" w:hAnsi="Times New Roman"/>
          <w:sz w:val="18"/>
          <w:szCs w:val="18"/>
          <w:color w:val="auto"/>
        </w:rPr>
        <w:t>Refer to “Note 13— Segment Information” in the notes to our unaudited consolidated financial statements for a reconciliation of Adjusted EBITDA to net income, the most directly comparable financial measure calculated and presented in accordance with GAAP, for the periods presented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w:t>
      </w:r>
    </w:p>
    <w:p>
      <w:pPr>
        <w:spacing w:after="0" w:line="121" w:lineRule="exact"/>
        <w:rPr>
          <w:sz w:val="20"/>
          <w:szCs w:val="20"/>
          <w:color w:val="auto"/>
        </w:rPr>
      </w:pPr>
    </w:p>
    <w:p>
      <w:pPr>
        <w:ind w:right="220" w:firstLine="589"/>
        <w:spacing w:after="0" w:line="258"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room reservations sold through our Jetsetter and Tingo brands; destination activities primarily sold through Viator; and online restaurant reservations booked primarily through Lafourchette. We also derive revenue from content licensing.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1" w:name="page32"/>
    <w:bookmarkEnd w:id="31"/>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center"/>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center"/>
              <w:ind w:left="37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Click-based advertising</w:t>
            </w:r>
          </w:p>
        </w:tc>
        <w:tc>
          <w:tcPr>
            <w:tcW w:w="78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78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Display-based advertising</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transaction and</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Revenue increased $82 million and $164 million during the three and six months ended June 30, 2015, respectively when compared to the same periods in 2014, primarily due to an increase in click-based advertising revenue of $31 million and $73 million for the three and six months ended June 30, 2015. The primary driver of the increase in click-based advertising revenue was an increase in hotel shoppers of 22% and 24% for the three and six months ended June 30, 2015, respectively, partially offset by a decrease in revenue per hotel shopper of 6% and 5% for the three and six months ended June 30, 2015, respectively. Display-based advertising increased by $3 million and $6 million during the three and six months ended June 30, 2015, respectively, primarily as a result of a 7% and 10% increase in the number of impressions sold and an increase in pricing of 5% and 2%, respectively when compared to the same periods in 2014. Subscription, transaction and other revenue increased by $48 million and $85 million during the three and six months ended June 30, 2015, respectively, primarily due to growth in our Business Listings and Vacation Rentals products, as well as incremental revenue of $34 million and $53 million, respectively, primarily related to our 2014 acquisitions of Lafourchette and Viator.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Impact on Revenue</w:t>
      </w:r>
    </w:p>
    <w:p>
      <w:pPr>
        <w:spacing w:after="0" w:line="119"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8"/>
          <w:szCs w:val="18"/>
          <w:color w:val="auto"/>
        </w:rPr>
        <w:t>The general strengthening of the U.S. dollar relative to certain foreign currencies (primarily the Euro) from the three and six month periods ending June 30, 2014 to the same periods in 2015 had an unfavorable impact on our revenue. If we had translated revenue for the three months ended June 30, 2015 using the prior year's quarterly average exchange rates for our settlement currencies other than the U.S. dollar, we estimate our total revenue and click-based advertising revenue would have been $439 million and $293 million, respectively, or $34 million and $27 million higher, respectively, than our actual revenue as reported for the three months ended June 30, 2015. If we had translated revenue for the six months ended June 30, 2015 using the prior year's quarter to date average exchange rates for our settlement currencies other than the U.S. dollar, we estimate our total revenue and click-based advertising revenue would have been $819 million and $555 million, respectively, or $51 million and $40 million higher, respectively, than our actual revenue as reported for the six months ended June 30, 2015.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Adjusted EBITDA by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Borders>
              <w:bottom w:val="single" w:sz="8" w:color="auto"/>
            </w:tcBorders>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Hotel</w:t>
            </w:r>
          </w:p>
        </w:tc>
        <w:tc>
          <w:tcPr>
            <w:tcW w:w="15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tcPr>
          <w:p>
            <w:pPr>
              <w:spacing w:after="0"/>
              <w:rPr>
                <w:sz w:val="20"/>
                <w:szCs w:val="20"/>
                <w:color w:val="auto"/>
              </w:rPr>
            </w:pPr>
          </w:p>
        </w:tc>
        <w:tc>
          <w:tcPr>
            <w:tcW w:w="1180" w:type="dxa"/>
            <w:vAlign w:val="bottom"/>
            <w:gridSpan w:val="2"/>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(1)</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2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56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0" w:type="dxa"/>
            <w:vAlign w:val="bottom"/>
            <w:tcBorders>
              <w:bottom w:val="single" w:sz="8" w:color="CFF0FC"/>
            </w:tcBorders>
          </w:tcPr>
          <w:p>
            <w:pPr>
              <w:spacing w:after="0"/>
              <w:rPr>
                <w:sz w:val="22"/>
                <w:szCs w:val="22"/>
                <w:color w:val="auto"/>
              </w:rPr>
            </w:pPr>
          </w:p>
        </w:tc>
        <w:tc>
          <w:tcPr>
            <w:tcW w:w="1760" w:type="dxa"/>
            <w:vAlign w:val="bottom"/>
            <w:tcBorders>
              <w:bottom w:val="single" w:sz="8" w:color="CFF0FC"/>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(2):</w:t>
            </w: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15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9"/>
                <w:szCs w:val="19"/>
                <w:color w:val="auto"/>
              </w:rPr>
            </w:pPr>
          </w:p>
        </w:tc>
        <w:tc>
          <w:tcPr>
            <w:tcW w:w="1180" w:type="dxa"/>
            <w:vAlign w:val="bottom"/>
            <w:gridSpan w:val="2"/>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vMerge w:val="continue"/>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2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Adjusted EBITDA</w:t>
            </w:r>
          </w:p>
        </w:tc>
        <w:tc>
          <w:tcPr>
            <w:tcW w:w="56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tcBorders>
              <w:bottom w:val="single" w:sz="8" w:color="CFF0FC"/>
            </w:tcBorders>
          </w:tcPr>
          <w:p>
            <w:pPr>
              <w:spacing w:after="0"/>
              <w:rPr>
                <w:sz w:val="22"/>
                <w:szCs w:val="22"/>
                <w:color w:val="auto"/>
              </w:rPr>
            </w:pP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(3):</w:t>
            </w: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-1259840</wp:posOffset>
            </wp:positionV>
            <wp:extent cx="917575" cy="471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7575" cy="47180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2" w:right="219" w:bottom="1440" w:gutter="0" w:footer="0" w:header="0"/>
        </w:sectPr>
      </w:pPr>
    </w:p>
    <w:bookmarkStart w:id="32" w:name="page33"/>
    <w:bookmarkEnd w:id="32"/>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Borders>
              <w:bottom w:val="single" w:sz="8" w:color="auto"/>
            </w:tcBorders>
            <w:gridSpan w:val="5"/>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60" w:type="dxa"/>
            <w:vAlign w:val="bottom"/>
          </w:tcPr>
          <w:p>
            <w:pPr>
              <w:spacing w:after="0"/>
              <w:rPr>
                <w:sz w:val="13"/>
                <w:szCs w:val="13"/>
                <w:color w:val="auto"/>
              </w:rPr>
            </w:pPr>
          </w:p>
        </w:tc>
        <w:tc>
          <w:tcPr>
            <w:tcW w:w="1080" w:type="dxa"/>
            <w:vAlign w:val="bottom"/>
          </w:tcPr>
          <w:p>
            <w:pPr>
              <w:jc w:val="right"/>
              <w:ind w:right="10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9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w:t>
            </w:r>
          </w:p>
        </w:tc>
        <w:tc>
          <w:tcPr>
            <w:tcW w:w="1640" w:type="dxa"/>
            <w:vAlign w:val="bottom"/>
            <w:gridSpan w:val="2"/>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tcPr>
          <w:p>
            <w:pPr>
              <w:spacing w:after="0"/>
              <w:rPr>
                <w:sz w:val="20"/>
                <w:szCs w:val="20"/>
                <w:color w:val="auto"/>
              </w:rPr>
            </w:pPr>
          </w:p>
        </w:tc>
        <w:tc>
          <w:tcPr>
            <w:tcW w:w="1180" w:type="dxa"/>
            <w:vAlign w:val="bottom"/>
            <w:gridSpan w:val="2"/>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00" w:type="dxa"/>
            <w:vAlign w:val="bottom"/>
          </w:tcPr>
          <w:p>
            <w:pPr>
              <w:spacing w:after="0"/>
              <w:rPr>
                <w:sz w:val="20"/>
                <w:szCs w:val="20"/>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(1)</w:t>
            </w:r>
          </w:p>
        </w:tc>
        <w:tc>
          <w:tcPr>
            <w:tcW w:w="5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56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0" w:type="dxa"/>
            <w:vAlign w:val="bottom"/>
            <w:tcBorders>
              <w:bottom w:val="single" w:sz="8" w:color="CFF0FC"/>
            </w:tcBorders>
          </w:tcPr>
          <w:p>
            <w:pPr>
              <w:spacing w:after="0"/>
              <w:rPr>
                <w:sz w:val="22"/>
                <w:szCs w:val="22"/>
                <w:color w:val="auto"/>
              </w:rPr>
            </w:pPr>
          </w:p>
        </w:tc>
        <w:tc>
          <w:tcPr>
            <w:tcW w:w="176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(2):</w:t>
            </w: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1640" w:type="dxa"/>
            <w:vAlign w:val="bottom"/>
            <w:gridSpan w:val="2"/>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9"/>
                <w:szCs w:val="19"/>
                <w:color w:val="auto"/>
              </w:rPr>
            </w:pPr>
          </w:p>
        </w:tc>
        <w:tc>
          <w:tcPr>
            <w:tcW w:w="1180" w:type="dxa"/>
            <w:vAlign w:val="bottom"/>
            <w:gridSpan w:val="2"/>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Adjusted EBITDA</w:t>
            </w:r>
          </w:p>
        </w:tc>
        <w:tc>
          <w:tcPr>
            <w:tcW w:w="56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0" w:type="dxa"/>
            <w:vAlign w:val="bottom"/>
            <w:tcBorders>
              <w:bottom w:val="single" w:sz="8" w:color="CFF0FC"/>
            </w:tcBorders>
          </w:tcPr>
          <w:p>
            <w:pPr>
              <w:spacing w:after="0"/>
              <w:rPr>
                <w:sz w:val="22"/>
                <w:szCs w:val="22"/>
                <w:color w:val="auto"/>
              </w:rPr>
            </w:pPr>
          </w:p>
        </w:tc>
        <w:tc>
          <w:tcPr>
            <w:tcW w:w="176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(3):</w:t>
            </w: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160" w:hanging="341"/>
        <w:spacing w:after="0"/>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revenue reported in this segment is from our subscription, transaction and other products.</w:t>
      </w:r>
    </w:p>
    <w:p>
      <w:pPr>
        <w:spacing w:after="0" w:line="3" w:lineRule="exact"/>
        <w:rPr>
          <w:rFonts w:ascii="Times New Roman" w:cs="Times New Roman" w:eastAsia="Times New Roman" w:hAnsi="Times New Roman"/>
          <w:sz w:val="14"/>
          <w:szCs w:val="14"/>
          <w:color w:val="auto"/>
        </w:rPr>
      </w:pPr>
    </w:p>
    <w:p>
      <w:pPr>
        <w:ind w:left="1160" w:right="1280" w:hanging="341"/>
        <w:spacing w:after="0" w:line="221"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Adjusted EBITDA is a general and administrative expense allocation for each segment, which is based on the segment’s percentage of our total personnel costs. See “Note 13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Segment Information,” in the notes to our unaudited consolidated financial statements for more information.</w:t>
      </w:r>
    </w:p>
    <w:p>
      <w:pPr>
        <w:ind w:left="1160" w:right="980" w:hanging="341"/>
        <w:spacing w:after="0" w:line="239" w:lineRule="auto"/>
        <w:tabs>
          <w:tab w:leader="none" w:pos="1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margin”, a non-GAAP measure, as Adjusted EBITDA as a percentage of revenue. See “Adjusted EBITDA” discussion above for more information on the limitations of using Adjusted EBITDA, a non-GAAP measure, as an analytical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-490220</wp:posOffset>
            </wp:positionV>
            <wp:extent cx="6140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Hotel</w:t>
      </w:r>
    </w:p>
    <w:p>
      <w:pPr>
        <w:spacing w:after="0" w:line="121"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Our Hotel segment revenue increased $40 million and $94 million during the three and six months ended June 30, 2015, respectively, when compared to the same periods in 2014, primarily due to an increase in click-based advertising revenue of $31 million and $73 million and an increase in display-based advertising of $3 million and $6 million. Subscription, transaction and other revenue increased by $6 million and $15 million during the three and six months ended June 30, 2015, respectively, when compared to the same periods in 2014, primarily due to growth in Business Listings.</w:t>
      </w:r>
    </w:p>
    <w:p>
      <w:pPr>
        <w:spacing w:after="0" w:line="180" w:lineRule="exact"/>
        <w:rPr>
          <w:sz w:val="20"/>
          <w:szCs w:val="20"/>
          <w:color w:val="auto"/>
        </w:rPr>
      </w:pPr>
    </w:p>
    <w:p>
      <w:pPr>
        <w:ind w:right="460" w:firstLine="552"/>
        <w:spacing w:after="0" w:line="266" w:lineRule="auto"/>
        <w:rPr>
          <w:sz w:val="20"/>
          <w:szCs w:val="20"/>
          <w:color w:val="auto"/>
        </w:rPr>
      </w:pPr>
      <w:r>
        <w:rPr>
          <w:rFonts w:ascii="Times New Roman" w:cs="Times New Roman" w:eastAsia="Times New Roman" w:hAnsi="Times New Roman"/>
          <w:sz w:val="18"/>
          <w:szCs w:val="18"/>
          <w:color w:val="auto"/>
        </w:rPr>
        <w:t>Adjusted EBITDA in our Hotel segment decreased $5 million and increased $3 million during the three and six months ended June 30, 2015, respectively, when compared to the same periods in 2014, primarily due to an increase in revenue, partially offset, primarily by increased personnel and overhead costs, search engine marketing, or SEM, and other online traffic acquisition costs, and TV advertising.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firstLine="552"/>
        <w:spacing w:after="0" w:line="261" w:lineRule="auto"/>
        <w:rPr>
          <w:sz w:val="20"/>
          <w:szCs w:val="20"/>
          <w:color w:val="auto"/>
        </w:rPr>
      </w:pPr>
      <w:r>
        <w:rPr>
          <w:rFonts w:ascii="Times New Roman" w:cs="Times New Roman" w:eastAsia="Times New Roman" w:hAnsi="Times New Roman"/>
          <w:sz w:val="18"/>
          <w:szCs w:val="18"/>
          <w:color w:val="auto"/>
        </w:rPr>
        <w:t>Our Other segment revenue increased $42 million and $70 million during the three and six months ended June 30, 2015, respectively, when compared to the same periods in 2014. This was driven by $34 million and $53 million in incremental revenue during the three and six months ended June 30, 2015, respectively, primarily related to our 2014 acquisitions of Lafourchette and Viator, as well as by growth in Vacation Rentals, primarily due to our free-to-list commission-based booking model.</w:t>
      </w:r>
    </w:p>
    <w:p>
      <w:pPr>
        <w:spacing w:after="0" w:line="180" w:lineRule="exact"/>
        <w:rPr>
          <w:sz w:val="20"/>
          <w:szCs w:val="20"/>
          <w:color w:val="auto"/>
        </w:rPr>
      </w:pPr>
    </w:p>
    <w:p>
      <w:pPr>
        <w:ind w:right="20" w:firstLine="552"/>
        <w:spacing w:after="0" w:line="258" w:lineRule="auto"/>
        <w:rPr>
          <w:sz w:val="20"/>
          <w:szCs w:val="20"/>
          <w:color w:val="auto"/>
        </w:rPr>
      </w:pPr>
      <w:r>
        <w:rPr>
          <w:rFonts w:ascii="Times New Roman" w:cs="Times New Roman" w:eastAsia="Times New Roman" w:hAnsi="Times New Roman"/>
          <w:sz w:val="18"/>
          <w:szCs w:val="18"/>
          <w:color w:val="auto"/>
        </w:rPr>
        <w:t>Adjusted EBITDA in our Other segment decreased $1 million and $5 million during the three and six months ended June 30, 2015, respectively when compared to the same periods in 2014. Our Attractions, Restaurants and Vacation Rentals businesses are all at earlier stages of their growth and business life cycle, and therefore at points require significant investments to fund growth initiatives, which is a contributing factor to this reportable segment currently operating at a loss. The segment’s Adjusted EBITDA margin for the three and six months ended June 30, 2015 was essentially flat when compared to the same periods in 2014.</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71"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Geography</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by geographic region, which reflects how we view our geographic revenue internally. Revenue by geography is based on the geographic location of our websites.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center"/>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center"/>
              <w:ind w:left="378"/>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geographic</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America (1)</w:t>
            </w:r>
          </w:p>
        </w:tc>
        <w:tc>
          <w:tcPr>
            <w:tcW w:w="92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EMEA (2)</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APAC (3)</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LATAM (4)</w:t>
            </w: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860" w:hanging="334"/>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Canada*</w:t>
      </w:r>
    </w:p>
    <w:p>
      <w:pPr>
        <w:spacing w:after="0" w:line="27" w:lineRule="exact"/>
        <w:rPr>
          <w:rFonts w:ascii="Times New Roman" w:cs="Times New Roman" w:eastAsia="Times New Roman" w:hAnsi="Times New Roman"/>
          <w:sz w:val="18"/>
          <w:szCs w:val="18"/>
          <w:color w:val="auto"/>
        </w:rPr>
      </w:pPr>
    </w:p>
    <w:p>
      <w:pPr>
        <w:ind w:left="860" w:hanging="334"/>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Middle East and Africa</w:t>
      </w:r>
    </w:p>
    <w:p>
      <w:pPr>
        <w:spacing w:after="0" w:line="9" w:lineRule="exact"/>
        <w:rPr>
          <w:rFonts w:ascii="Times New Roman" w:cs="Times New Roman" w:eastAsia="Times New Roman" w:hAnsi="Times New Roman"/>
          <w:sz w:val="18"/>
          <w:szCs w:val="18"/>
          <w:color w:val="auto"/>
        </w:rPr>
      </w:pPr>
    </w:p>
    <w:p>
      <w:pPr>
        <w:ind w:left="860" w:hanging="334"/>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Asia-Pacific</w:t>
      </w:r>
    </w:p>
    <w:p>
      <w:pPr>
        <w:spacing w:after="0" w:line="9" w:lineRule="exact"/>
        <w:rPr>
          <w:rFonts w:ascii="Times New Roman" w:cs="Times New Roman" w:eastAsia="Times New Roman" w:hAnsi="Times New Roman"/>
          <w:sz w:val="18"/>
          <w:szCs w:val="18"/>
          <w:color w:val="auto"/>
        </w:rPr>
      </w:pPr>
    </w:p>
    <w:p>
      <w:pPr>
        <w:ind w:left="860" w:hanging="334"/>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w:t>
      </w:r>
    </w:p>
    <w:p>
      <w:pPr>
        <w:spacing w:after="0" w:line="207" w:lineRule="exact"/>
        <w:rPr>
          <w:sz w:val="20"/>
          <w:szCs w:val="20"/>
          <w:color w:val="auto"/>
        </w:rPr>
      </w:pPr>
    </w:p>
    <w:p>
      <w:pPr>
        <w:ind w:left="860" w:hanging="33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is included in international revenue for discussion purposes below.</w:t>
      </w:r>
    </w:p>
    <w:p>
      <w:pPr>
        <w:spacing w:after="0" w:line="225"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International revenue increased $33 million or 19%, and $80 million, or 25%, during the three and six months ended June 30, 2015, respectively, compared to the same periods in 2014. International revenue represented 50% and 51% of total revenue during the three and six months ended June 30, 2015, respectively, and represented 53% and 52% of total revenue during the three and six months ended June 30, 2014, respectively. Although international revenue increased as international hotel shoppers continue to grow, our international revenue growth rate and percentage of total revenue declined during the three and six months ended June 30, 2015 when compared to the same periods in 2014, respectively, primarily due to the impact of fluctuations in foreign exchange rates, primarily due to the prolonged weakness of the Euro.</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5"/>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center"/>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180" w:type="dxa"/>
            <w:vAlign w:val="bottom"/>
            <w:gridSpan w:val="2"/>
            <w:shd w:val="clear" w:color="auto" w:fill="CFF0FC"/>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4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1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Cost of revenue increased $7 million and $12 million during the three and six months ended June 30, 2015, respectively, when compared to the same periods in 2014, primarily due to increased merchant credit card and transaction fees, driven by additional transaction costs from our 2014 business acquisitions in Attractions and Restaurants and growth in our Vacation Rental free-to-list business; personnel costs from increased headcount to support business growth and customer support; and incremental personnel costs related to our 2014 business acquisitions in Attractions and Restaurants. Our Attractions and Restaurants businesses contributed an incremental $5 million and $9 million to our cost of revenue for the three and six months ended June 30, 2015, respectively, of which an incremental $2 million and $4 million, respectively, was related to personnel and overhead.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center"/>
              <w:ind w:left="3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86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2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6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selling and</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marketing</w:t>
            </w:r>
          </w:p>
        </w:tc>
        <w:tc>
          <w:tcPr>
            <w:tcW w:w="86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552"/>
        <w:spacing w:after="0" w:line="254" w:lineRule="auto"/>
        <w:rPr>
          <w:sz w:val="20"/>
          <w:szCs w:val="20"/>
          <w:color w:val="auto"/>
        </w:rPr>
      </w:pPr>
      <w:r>
        <w:rPr>
          <w:rFonts w:ascii="Times New Roman" w:cs="Times New Roman" w:eastAsia="Times New Roman" w:hAnsi="Times New Roman"/>
          <w:sz w:val="18"/>
          <w:szCs w:val="18"/>
          <w:color w:val="auto"/>
        </w:rPr>
        <w:t>Direct selling and marketing costs increased $59 million and $109 million during the three and six months ended June 30, 2015, respectively, when compared to the same periods in 2014, primarily due to increased SEM costs and other online traffic acquisition costs, increased costs related to our television campaign, and incremental costs related to our 2014 business acquisitions in Attractions and Restaurants. We spent $19 million and $29 million on our television advertising campaign during the three and six months ended June 30, 2015, respectively, which was initially launched in May 2014. Personnel and overhead costs increased $6 million and $13 million during the three and six months ended June 30, 2015, respectively, when compared to the same periods in 2014, primarily due to an increase in headcount to support business growth, including international expansion, as well as incremental personnel costs related to our 2014 business acquisitions in Attractions and Restaurants. Our Attractions and Restaurants businesses contributed an incremental $26 million and $42 million to our selling and marketing expenses for the three and six months ended June 30, 2015, respectively, of which an incremental $6 million and $12 million, respectively, was related to personnel and overhead.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jc w:val="both"/>
        <w:ind w:right="60" w:firstLine="552"/>
        <w:spacing w:after="0" w:line="266" w:lineRule="auto"/>
        <w:rPr>
          <w:sz w:val="20"/>
          <w:szCs w:val="20"/>
          <w:color w:val="auto"/>
        </w:rPr>
      </w:pPr>
      <w:r>
        <w:rPr>
          <w:rFonts w:ascii="Times New Roman" w:cs="Times New Roman" w:eastAsia="Times New Roman" w:hAnsi="Times New Roman"/>
          <w:sz w:val="18"/>
          <w:szCs w:val="18"/>
          <w:color w:val="auto"/>
        </w:rPr>
        <w:t>Technology and content expenses consist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center"/>
              <w:ind w:left="3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84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8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technology and</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content</w:t>
            </w:r>
          </w:p>
        </w:tc>
        <w:tc>
          <w:tcPr>
            <w:tcW w:w="84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ind w:right="40" w:firstLine="518"/>
        <w:spacing w:after="0" w:line="277" w:lineRule="auto"/>
        <w:rPr>
          <w:sz w:val="20"/>
          <w:szCs w:val="20"/>
          <w:color w:val="auto"/>
        </w:rPr>
      </w:pPr>
      <w:r>
        <w:rPr>
          <w:rFonts w:ascii="Times New Roman" w:cs="Times New Roman" w:eastAsia="Times New Roman" w:hAnsi="Times New Roman"/>
          <w:sz w:val="17"/>
          <w:szCs w:val="17"/>
          <w:color w:val="auto"/>
        </w:rPr>
        <w:t>Technology and content costs increased $9 million and $20 million during the three and six months ended June 30, 2015, respectively, when compared to the same periods in 2014, primarily due to increased personnel costs from increased headcount to support business growth, including international expansion and enhanced site features, as well as incremental personnel costs related to our 2014 business acquisitions in Attractions and Restaurants. Our Attractions and Restaurants businesses contributed an incremental $4 million and $9 million to our technology and content expenses for the three and six months ended June 30, 2015, respectively, of which an incremental $3 million and $6 million, respectively, was related to personnel and overhead.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0" w:firstLine="58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and related overhead costs, for personnel engaged in executive leadership, finance, legal, and human resources and stock-based compensation as well as professional service fees and other fees including audit, legal, tax and accounting, and other costs, including bad debt expense and our charitable foundation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5" w:name="page36"/>
    <w:bookmarkEnd w:id="35"/>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68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 and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general and</w:t>
            </w:r>
          </w:p>
        </w:tc>
        <w:tc>
          <w:tcPr>
            <w:tcW w:w="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administrative</w:t>
            </w:r>
          </w:p>
        </w:tc>
        <w:tc>
          <w:tcPr>
            <w:tcW w:w="68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firstLine="552"/>
        <w:spacing w:after="0" w:line="258" w:lineRule="auto"/>
        <w:rPr>
          <w:sz w:val="20"/>
          <w:szCs w:val="20"/>
          <w:color w:val="auto"/>
        </w:rPr>
      </w:pPr>
      <w:r>
        <w:rPr>
          <w:rFonts w:ascii="Times New Roman" w:cs="Times New Roman" w:eastAsia="Times New Roman" w:hAnsi="Times New Roman"/>
          <w:sz w:val="18"/>
          <w:szCs w:val="18"/>
          <w:color w:val="auto"/>
        </w:rPr>
        <w:t>General and administrative costs increased $12 million and $19 million during the three and six months ended June 30, 2015, respectively, when compared to the same periods in 2014, primarily due to personnel costs and overhead costs related to an increase in headcount to support our business operations, as well as incremental personnel costs related to our 2014 business acquisitions in Attractions and Restaurants. Our Attractions and Restaurants businesses contributed an incremental $5 million and $9 million to our general and administrative expenses for the three and six months ended June 30, 2015, respectively, of which an incremental $3 million and $5 million, respectively, was related to personnel and overhead.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380" w:firstLine="593"/>
        <w:spacing w:after="0" w:line="282"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software and website development costs.</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gridSpan w:val="2"/>
          </w:tcPr>
          <w:p>
            <w:pPr>
              <w:jc w:val="center"/>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93"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increased $4 million and $7 million during the three and six months ended June 30, 2015, respectively, when compared to the same periods in 2014 primarily due to increased amortization related to capitalized software and website development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Amortization consists of the amortization of purchased definite-lived intangibles.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gridSpan w:val="2"/>
          </w:tcPr>
          <w:p>
            <w:pPr>
              <w:jc w:val="center"/>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52"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increased $6 million and $11 million during the three and six months ended June 30, 2015, respectively, when compared to the same periods in 2014, primarily due to incremental amortization on purchased definite lived intangibles related to our 2014 business acquisitions. Refer to “Note 3— Acquisitions” in the notes to our consolidated financial statements in Item 8 of our Annual Report on Form 10-K for the year ended December 31, 2014 for additional information on our 2014 acquisitions.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our 2011 Credit Facility, 2015 Credit Facility, and Chinese Credit Facilities.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3"/>
        </w:trPr>
        <w:tc>
          <w:tcPr>
            <w:tcW w:w="11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520" w:type="dxa"/>
            <w:vAlign w:val="bottom"/>
            <w:tcBorders>
              <w:bottom w:val="single" w:sz="8" w:color="auto"/>
            </w:tcBorders>
          </w:tcPr>
          <w:p>
            <w:pPr>
              <w:jc w:val="right"/>
              <w:ind w:right="10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10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6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jc w:val="center"/>
              <w:ind w:right="501"/>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center"/>
              <w:ind w:left="44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801"/>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24"/>
              <w:spacing w:after="0"/>
              <w:rPr>
                <w:sz w:val="20"/>
                <w:szCs w:val="20"/>
                <w:color w:val="auto"/>
              </w:rPr>
            </w:pPr>
            <w:r>
              <w:rPr>
                <w:rFonts w:ascii="Times New Roman" w:cs="Times New Roman" w:eastAsia="Times New Roman" w:hAnsi="Times New Roman"/>
                <w:sz w:val="18"/>
                <w:szCs w:val="18"/>
                <w:color w:val="auto"/>
              </w:rPr>
              <w:t>(4)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jc w:val="right"/>
              <w:ind w:right="1001"/>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2" w:right="219" w:bottom="1440" w:gutter="0" w:footer="0" w:header="0"/>
        </w:sectPr>
      </w:pPr>
    </w:p>
    <w:bookmarkStart w:id="36" w:name="page37"/>
    <w:bookmarkEnd w:id="36"/>
    <w:p>
      <w:pPr>
        <w:ind w:right="80" w:firstLine="552"/>
        <w:spacing w:after="0" w:line="266" w:lineRule="auto"/>
        <w:rPr>
          <w:sz w:val="20"/>
          <w:szCs w:val="20"/>
          <w:color w:val="auto"/>
        </w:rPr>
      </w:pPr>
      <w:r>
        <w:rPr>
          <w:rFonts w:ascii="Times New Roman" w:cs="Times New Roman" w:eastAsia="Times New Roman" w:hAnsi="Times New Roman"/>
          <w:sz w:val="18"/>
          <w:szCs w:val="18"/>
          <w:color w:val="auto"/>
        </w:rPr>
        <w:t>Interest expense did not materially change during the three and six months ended June 30, 2015, respectively when compared to the same periods in 2014. Refer to “Note 8— Debt” in the notes to our unaudited consolidated financial statements in this Quarterly Report on Form 10-Q for additional information on our 2011 Credit Facility, 2015 Credit Facility, and Chinese Credit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Interest income and other, net primarily consists of interest earned and amortization of discounts and premiums on our marketable securities and net foreign exchange gains and losses.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4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gridSpan w:val="2"/>
          </w:tcPr>
          <w:p>
            <w:pPr>
              <w:jc w:val="center"/>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4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bl>
    <w:p>
      <w:pPr>
        <w:spacing w:after="0" w:line="81" w:lineRule="exact"/>
        <w:rPr>
          <w:sz w:val="20"/>
          <w:szCs w:val="20"/>
          <w:color w:val="auto"/>
        </w:rPr>
      </w:pPr>
    </w:p>
    <w:p>
      <w:pPr>
        <w:ind w:right="280" w:firstLine="518"/>
        <w:spacing w:after="0" w:line="284" w:lineRule="auto"/>
        <w:rPr>
          <w:sz w:val="20"/>
          <w:szCs w:val="20"/>
          <w:color w:val="auto"/>
        </w:rPr>
      </w:pPr>
      <w:r>
        <w:rPr>
          <w:rFonts w:ascii="Times New Roman" w:cs="Times New Roman" w:eastAsia="Times New Roman" w:hAnsi="Times New Roman"/>
          <w:sz w:val="18"/>
          <w:szCs w:val="18"/>
          <w:color w:val="auto"/>
        </w:rPr>
        <w:t>Interest income and other, net increased during the three and six months ended June 30, 2015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respectively when compared to the same periods in 2014, primarily due to the fluctuation of foreign exchange rates.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gridSpan w:val="2"/>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9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5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bl>
    <w:p>
      <w:pPr>
        <w:spacing w:after="0" w:line="193" w:lineRule="exact"/>
        <w:rPr>
          <w:sz w:val="20"/>
          <w:szCs w:val="20"/>
          <w:color w:val="auto"/>
        </w:rPr>
      </w:pPr>
    </w:p>
    <w:p>
      <w:pPr>
        <w:ind w:right="60" w:firstLine="552"/>
        <w:spacing w:after="0" w:line="282" w:lineRule="auto"/>
        <w:rPr>
          <w:sz w:val="20"/>
          <w:szCs w:val="20"/>
          <w:color w:val="auto"/>
        </w:rPr>
      </w:pPr>
      <w:r>
        <w:rPr>
          <w:rFonts w:ascii="Times New Roman" w:cs="Times New Roman" w:eastAsia="Times New Roman" w:hAnsi="Times New Roman"/>
          <w:sz w:val="18"/>
          <w:szCs w:val="18"/>
          <w:color w:val="auto"/>
        </w:rPr>
        <w:t>Our effective tax rate decreased during the three and six months ended June 30, 2015, respectively over the same periods in 2014, primarily due to a change in jurisdictional earnings.</w:t>
      </w:r>
    </w:p>
    <w:p>
      <w:pPr>
        <w:spacing w:after="0" w:line="162"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2015, the effective tax rate is less than the federal statutory tax rate primarily due to earnings in jurisdictions outside the United States, where our effective tax rate is lower, which was partially offset by state income taxes, non-deductible stock-based compensation and accruals on uncertain tax positions.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For information on our relationship with Liberty TripAdvisor Holdings, Inc., refer to “Note 15— Related Party Transactions” in the notes to our unaudited consolidated financial statements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Refer to “Note 4— Stock Based Awards and Other Equity Instruments” in the notes to our unaudited consolidated financial statements in this Quarterly Report on Form 10-Q for further information on current year equity award activity, including the issuance of 378,606 service-based stock options with a weighted average grant-date fair value per option of $33.68 and 606,471 service-based RSUs with a weighted average grant-date fair value of $85.28 during the six months ended June 30,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section explains how we have generated and used our cash historically, describes our current capital resources and discusses our future financial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229" w:lineRule="exact"/>
        <w:rPr>
          <w:sz w:val="20"/>
          <w:szCs w:val="20"/>
          <w:color w:val="auto"/>
        </w:rPr>
      </w:pPr>
    </w:p>
    <w:p>
      <w:pPr>
        <w:jc w:val="both"/>
        <w:ind w:right="280" w:firstLine="552"/>
        <w:spacing w:after="0" w:line="261" w:lineRule="auto"/>
        <w:rPr>
          <w:sz w:val="20"/>
          <w:szCs w:val="20"/>
          <w:color w:val="auto"/>
        </w:rPr>
      </w:pPr>
      <w:r>
        <w:rPr>
          <w:rFonts w:ascii="Times New Roman" w:cs="Times New Roman" w:eastAsia="Times New Roman" w:hAnsi="Times New Roman"/>
          <w:sz w:val="18"/>
          <w:szCs w:val="18"/>
          <w:color w:val="auto"/>
        </w:rPr>
        <w:t>On June 26, 2015, we entered into a five year credit agreement with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 (the “2015 Credit Facility”).</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37" w:name="page38"/>
    <w:bookmarkEnd w:id="37"/>
    <w:p>
      <w:pPr>
        <w:jc w:val="both"/>
        <w:ind w:right="200" w:firstLine="552"/>
        <w:spacing w:after="0" w:line="266" w:lineRule="auto"/>
        <w:rPr>
          <w:sz w:val="20"/>
          <w:szCs w:val="20"/>
          <w:color w:val="auto"/>
        </w:rPr>
      </w:pPr>
      <w:r>
        <w:rPr>
          <w:rFonts w:ascii="Times New Roman" w:cs="Times New Roman" w:eastAsia="Times New Roman" w:hAnsi="Times New Roman"/>
          <w:sz w:val="18"/>
          <w:szCs w:val="18"/>
          <w:color w:val="auto"/>
        </w:rPr>
        <w:t>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w:t>
      </w:r>
    </w:p>
    <w:p>
      <w:pPr>
        <w:spacing w:after="0" w:line="28"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We immediately borrowed $290 million from this revolving credit facility, which was used to repay all outstanding borrowings pursuant to the 2011 Credit Facility and is recorded in long term liabilities on our unaudited balance sheet as of June 30, 2015. There is no specific repayment date prior to the five-year maturity date for borrowings under this revolving credit facility. Based on the Company’s current leverage ratio, our borrowings bear interest at LIBOR plus 125 basis points, or the Eurocurrency Spread. The Company is currently borrowing under a one-month interest period of approximately</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1.44% per annum, using a one-month interest period Eurocurrency Spread, which will reset periodically. Interest will be payable on a monthly basis while the Company is borrowing under the one-month interest rate period.</w:t>
      </w:r>
    </w:p>
    <w:p>
      <w:pPr>
        <w:spacing w:after="0" w:line="180"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$40 million of borrowing capacity available for letters of credit and $40 million for borrowings on same-day notice. As of June 30, 2015, we had issued $2 million of outstanding letters of credit under the 2015 Credit Facility.</w:t>
      </w:r>
    </w:p>
    <w:p>
      <w:pPr>
        <w:spacing w:after="0" w:line="45"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68" w:lineRule="exact"/>
        <w:rPr>
          <w:sz w:val="20"/>
          <w:szCs w:val="20"/>
          <w:color w:val="auto"/>
        </w:rPr>
      </w:pPr>
    </w:p>
    <w:p>
      <w:pPr>
        <w:ind w:right="40" w:firstLine="552"/>
        <w:spacing w:after="0" w:line="261" w:lineRule="auto"/>
        <w:rPr>
          <w:sz w:val="20"/>
          <w:szCs w:val="20"/>
          <w:color w:val="auto"/>
        </w:rPr>
      </w:pPr>
      <w:r>
        <w:rPr>
          <w:rFonts w:ascii="Times New Roman" w:cs="Times New Roman" w:eastAsia="Times New Roman" w:hAnsi="Times New Roman"/>
          <w:sz w:val="18"/>
          <w:szCs w:val="18"/>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June 30, 2015, we are in compliance with all of our debt covenants.</w:t>
      </w:r>
    </w:p>
    <w:p>
      <w:pPr>
        <w:spacing w:after="0" w:line="180" w:lineRule="exact"/>
        <w:rPr>
          <w:sz w:val="20"/>
          <w:szCs w:val="20"/>
          <w:color w:val="auto"/>
        </w:rPr>
      </w:pPr>
    </w:p>
    <w:p>
      <w:pPr>
        <w:ind w:right="180" w:firstLine="548"/>
        <w:spacing w:after="0" w:line="282" w:lineRule="auto"/>
        <w:rPr>
          <w:sz w:val="20"/>
          <w:szCs w:val="20"/>
          <w:color w:val="auto"/>
        </w:rPr>
      </w:pPr>
      <w:r>
        <w:rPr>
          <w:rFonts w:ascii="Times New Roman" w:cs="Times New Roman" w:eastAsia="Times New Roman" w:hAnsi="Times New Roman"/>
          <w:sz w:val="18"/>
          <w:szCs w:val="18"/>
          <w:color w:val="auto"/>
        </w:rPr>
        <w:t>The full text of the credit agreement entered into in connection with the 2015 Credit Facility is incorporated by reference in this Quarterly Report to Exhibit 10.1 of the Company’s current report on Form 8-K filed June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unaudited consolidated statements of cash flows, are summarized in the following table:</w:t>
      </w:r>
    </w:p>
    <w:p>
      <w:pPr>
        <w:spacing w:after="0" w:line="263"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9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900" w:type="dxa"/>
            <w:vAlign w:val="bottom"/>
          </w:tcPr>
          <w:p>
            <w:pPr>
              <w:spacing w:after="0"/>
              <w:rPr>
                <w:sz w:val="13"/>
                <w:szCs w:val="13"/>
                <w:color w:val="auto"/>
              </w:rPr>
            </w:pPr>
          </w:p>
        </w:tc>
        <w:tc>
          <w:tcPr>
            <w:tcW w:w="104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299</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source of liquidity is cash flows generated from operations, although liquidity needs can also be met through drawdowns under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facilities discussed in “Note 8 – Debt” in the notes to our unaudited consolidated financial statements in this Quarterly Report on Form 10-Q.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2015 and December 31, 2014, we had $746 million and $594 million, respectively, of cash, cash equivalents and short and long-term available-for-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marketable securities. As of June 30, 2015, approximately $515 million of our cash, cash equivalents and short and long-term marketable securities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our international subsidiaries, primarily in the United Kingdom, and are related to earnings we intend to reinvest permanently outside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Cumulative undistributed earnings of foreign subsidiaries that we intend to indefinitely reinvest outside of the United States totaled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 million as of June 30, 2015. Should we distribute, or be treated under certain U.S. tax rules as having distributed, the earnings of foreign subsidiaries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of dividends or otherwise, we may be subject to U.S. income taxes. Determination of the amount of any unrecognized deferred income tax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this temporary difference is not practicable because of the complexities of the hypothetical calculation. Cash held is primarily denominated in U.S. dollars.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8" w:name="page39"/>
    <w:bookmarkEnd w:id="38"/>
    <w:p>
      <w:pPr>
        <w:jc w:val="both"/>
        <w:ind w:right="280" w:firstLine="589"/>
        <w:spacing w:after="0" w:line="266" w:lineRule="auto"/>
        <w:rPr>
          <w:sz w:val="20"/>
          <w:szCs w:val="20"/>
          <w:color w:val="auto"/>
        </w:rPr>
      </w:pPr>
      <w:r>
        <w:rPr>
          <w:rFonts w:ascii="Times New Roman" w:cs="Times New Roman" w:eastAsia="Times New Roman" w:hAnsi="Times New Roman"/>
          <w:sz w:val="18"/>
          <w:szCs w:val="18"/>
          <w:color w:val="auto"/>
        </w:rPr>
        <w:t>As of June 30, 2015, we had $708 million of borrowing capacity available under our 2015 Credit Facility. In addition, we have approximately $49 million of available borrowing capacity under our Chinese Credit Facilities, which currently bear interest at a rate based on 100% of the People’s Bank of China’s base rate, or 4.85% as of June 30, 2015.</w:t>
      </w:r>
    </w:p>
    <w:p>
      <w:pPr>
        <w:spacing w:after="0" w:line="176"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long term debt obligations and other financial commitments; and fund our new corporate lease obligations, share repurchases and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52"/>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2015, net cash provided by operating activities increased by $32 million or 12% when compared to the same period in 2014, primarily due to an increase in working capital movements of $31 million mainly due to an increase in operating cash flow from deferred merchant payables of $70 million related to the seasonality in our business, offset by a decrease of $39 million related to the timing of customer receipts, income tax payments and vendor payments.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2015, net cash used in investing activities increased by $97 million when compared to the same period in 2014, primarily due to a net increase in cash used for the purchases, sales and maturities of our marketable securities of $208 million, cash paid for 2015 business acquisitions of $29 million, net of cash acquired, and an increase in capital expenditures of $12 million; this increase was offset by cash paid for 2014 business acquisitions of $152 million, net of cash acquired.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2015, net cash used in financing activities increased by $37 million when compared to the same period in 2014, primarily due to the repayment of our Term Loan of $300 million in 2015, or an incremental outflow of $280 million, incremental repayments of our outstanding borrowings related to our Chinese Credit Facilities of $38 million, and an increase in tax withholdings payments of $39 million primarily related to the exercise of expiring stock options, offset by new net borrowings on our 2015 Credit Facility of $287 million, incremental excess tax benefits related to stock-based compensation recorded by the Company of $16 million, and receipts of $12 million in lease incentive payments related to our new corporate headquarters.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Commercial Commitments and Off-Balance Sheet Arrangements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2014, except as described in “Note 8— Debt” in the notes to our unaudited consolidated financial statements in this Quarterly Report on Form 10-Q regarding our 2011 Credit Facility and 2015 Credit Facility. Refer to “Note 12— Commitments and Contingencies,” in the notes to our consolidated financial statements in Item 8 of our Annual Report on Form 10-K for the year ended December 31, 2014.</w:t>
      </w:r>
    </w:p>
    <w:p>
      <w:pPr>
        <w:spacing w:after="0" w:line="180"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As of June 30, 2015,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right="180" w:firstLine="51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involving alleged infringement of third-party intellectual property rights, defamation,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9" w:name="page40"/>
    <w:bookmarkEnd w:id="39"/>
    <w:p>
      <w:pPr>
        <w:ind w:right="540"/>
        <w:spacing w:after="0" w:line="282" w:lineRule="auto"/>
        <w:rPr>
          <w:sz w:val="20"/>
          <w:szCs w:val="20"/>
          <w:color w:val="auto"/>
        </w:rPr>
      </w:pPr>
      <w:r>
        <w:rPr>
          <w:rFonts w:ascii="Times New Roman" w:cs="Times New Roman" w:eastAsia="Times New Roman" w:hAnsi="Times New Roman"/>
          <w:sz w:val="18"/>
          <w:szCs w:val="18"/>
          <w:color w:val="auto"/>
        </w:rPr>
        <w:t>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0"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three months ended June 30, 2015. For additional information, see “Quantitative and Qualitative Disclosures About Market Risk” in Item 7A. in Part II of our Annual Report on Form 10-K for the year ended December 31, 2014.</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of June 30, 2015,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June 30, 2015,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June 30, 2015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arising out of our operations. These matters may involve claims involving alleged infringement of third-party intellectual property rights (including patent infringement), defamation, taxes, regulatory compliance privacy issues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2014 which could materially affect our business, financial condition or future results. During the quarter ended June 30, 2015, there have been no material changes in our risk factors from those disclosed in Part 1, Item 1A., “Risk Factors” in our Annual Report on Form 10-K for the fiscal year ended December 31, 2014.</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2015,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firstLine="552"/>
        <w:spacing w:after="0" w:line="258" w:lineRule="auto"/>
        <w:rPr>
          <w:sz w:val="20"/>
          <w:szCs w:val="20"/>
          <w:color w:val="auto"/>
        </w:rPr>
      </w:pPr>
      <w:r>
        <w:rPr>
          <w:rFonts w:ascii="Times New Roman" w:cs="Times New Roman" w:eastAsia="Times New Roman" w:hAnsi="Times New Roman"/>
          <w:sz w:val="18"/>
          <w:szCs w:val="18"/>
          <w:color w:val="auto"/>
        </w:rPr>
        <w:t>On February 15, 2013,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quarter ended June 30, 2015.</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2015, we have $105 million remaining to repurchase shares of our common stock under this share repurchase program.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6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2040" w:type="dxa"/>
            <w:vAlign w:val="bottom"/>
          </w:tcPr>
          <w:p>
            <w:pPr>
              <w:jc w:val="center"/>
              <w:ind w:right="1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739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ind w:left="560" w:right="540" w:hanging="553"/>
        <w:spacing w:after="0" w:line="249" w:lineRule="auto"/>
        <w:tabs>
          <w:tab w:leader="none" w:pos="540" w:val="left"/>
        </w:tabs>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color w:val="252525"/>
        </w:rPr>
        <w:tab/>
        <w:t>Separation Agreement dated April 2, 2015 by and between TripAdvisor, LLC and Julie M.B. Bradley</w:t>
      </w:r>
    </w:p>
    <w:p>
      <w:pPr>
        <w:spacing w:after="0" w:line="1" w:lineRule="exact"/>
        <w:rPr>
          <w:sz w:val="20"/>
          <w:szCs w:val="20"/>
          <w:color w:val="auto"/>
        </w:rPr>
      </w:pPr>
    </w:p>
    <w:p>
      <w:pPr>
        <w:ind w:left="560" w:hanging="553"/>
        <w:spacing w:after="0" w:line="252" w:lineRule="auto"/>
        <w:tabs>
          <w:tab w:leader="none" w:pos="540" w:val="left"/>
        </w:tabs>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color w:val="252525"/>
        </w:rPr>
        <w:tab/>
        <w:t>Credit Agreement dated as of June 26, 2015 by and among TripAdvisor, Inc., TripAdvisor Holdings, LLC, TripAdvisor LLC,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w:t>
      </w:r>
    </w:p>
    <w:p>
      <w:pPr>
        <w:spacing w:after="0" w:line="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the Chief Executive Officer pursuant to Section 302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31.2</w:t>
        <w:tab/>
        <w:t>Certification of the Chief Financial Officer pursuant to Section 302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the Chief Executive Officer pursuant to Section 906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32.2</w:t>
        <w:tab/>
        <w:t>Certification of the Chief Financial Officer pursuant to Section 906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ind w:left="560" w:right="160" w:hanging="552"/>
        <w:spacing w:after="0" w:line="256"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period ended June 30, 2015, formatted in XBRL: (i) Unaudited Consolidated Statements of Operations, (ii) Unaudited Consolidated Statements of Comprehensive Income, (iii) Unaudited Consolidated Balance Sheets, (iv) Unaudited Consolidated Statement of Changes in Stockholders’ Equity, (v) Unaudited Consolidated Statements of Cash Flows, and (vi) Notes to Unaudited Consolidated Financial Statements.</w:t>
      </w:r>
    </w:p>
    <w:p>
      <w:pPr>
        <w:spacing w:after="0" w:line="186"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Indicates a management contract or compensatory plan, contract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2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2"/>
        </w:trPr>
        <w:tc>
          <w:tcPr>
            <w:tcW w:w="8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460" w:type="dxa"/>
            <w:vAlign w:val="bottom"/>
            <w:tcBorders>
              <w:top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58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8"/>
        </w:trPr>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9"/>
                <w:szCs w:val="19"/>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001-35362</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4/2/15</w:t>
            </w:r>
          </w:p>
        </w:tc>
      </w:tr>
      <w:tr>
        <w:trPr>
          <w:trHeight w:val="414"/>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001-35362</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800" w:space="140"/>
            <w:col w:w="3480"/>
          </w:cols>
          <w:pgMar w:left="240" w:top="900" w:right="239" w:bottom="1440" w:gutter="0" w:footer="0" w:header="0"/>
        </w:sectPr>
      </w:pPr>
    </w:p>
    <w:bookmarkStart w:id="42" w:name="page43"/>
    <w:bookmarkEnd w:id="4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TripAdvisor, Inc.</w:t>
      </w:r>
    </w:p>
    <w:p>
      <w:pPr>
        <w:spacing w:after="0" w:line="266" w:lineRule="exact"/>
        <w:rPr>
          <w:sz w:val="20"/>
          <w:szCs w:val="20"/>
          <w:color w:val="auto"/>
        </w:rPr>
      </w:pPr>
    </w:p>
    <w:p>
      <w:pPr>
        <w:ind w:left="686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ULIE</w:t>
      </w:r>
      <w:r>
        <w:rPr>
          <w:rFonts w:ascii="Times New Roman" w:cs="Times New Roman" w:eastAsia="Times New Roman" w:hAnsi="Times New Roman"/>
          <w:sz w:val="18"/>
          <w:szCs w:val="18"/>
          <w:color w:val="auto"/>
        </w:rPr>
        <w:t xml:space="preserve"> M.B. B </w:t>
      </w:r>
      <w:r>
        <w:rPr>
          <w:rFonts w:ascii="Times New Roman" w:cs="Times New Roman" w:eastAsia="Times New Roman" w:hAnsi="Times New Roman"/>
          <w:sz w:val="13"/>
          <w:szCs w:val="13"/>
          <w:color w:val="auto"/>
        </w:rPr>
        <w:t>RADLEY</w:t>
      </w:r>
    </w:p>
    <w:p>
      <w:pPr>
        <w:spacing w:after="0" w:line="27"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b w:val="1"/>
          <w:bCs w:val="1"/>
          <w:color w:val="auto"/>
        </w:rPr>
        <w:t>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60"/>
          </w:cols>
          <w:pgMar w:left="240" w:top="901" w:right="7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 Stephen Kaufer, Chief Executive Officer of TripAdvisor, Inc., certify that:</w:t>
      </w:r>
    </w:p>
    <w:p>
      <w:pPr>
        <w:spacing w:after="0" w:line="117"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2015 of TripAdvisor, Inc.;</w:t>
      </w:r>
    </w:p>
    <w:p>
      <w:pPr>
        <w:spacing w:after="0" w:line="117"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40" w:right="40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20" w:right="180" w:hanging="494"/>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20" w:right="500" w:hanging="494"/>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20" w:right="660" w:hanging="494"/>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494"/>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94"/>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94"/>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M.B. Bradley, Chief Financial Officer of TripAdvisor, Inc. certify that:</w:t>
      </w:r>
    </w:p>
    <w:p>
      <w:pPr>
        <w:spacing w:after="0" w:line="117"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2015 of TripAdvisor, Inc.;</w:t>
      </w:r>
    </w:p>
    <w:p>
      <w:pPr>
        <w:spacing w:after="0" w:line="117"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40" w:right="400" w:hanging="532"/>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20" w:right="180" w:hanging="494"/>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20" w:right="500" w:hanging="494"/>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20" w:right="660" w:hanging="494"/>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494"/>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94"/>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94"/>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M.B. BRADLEY</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Julie M.B. Bradley</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420"/>
          </w:cols>
          <w:pgMar w:left="240" w:top="11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June 30, 2015, as filed with the Securities and Exchange Commission on the date hereof (the “Report”), I, Stephen Kaufer, Chief Executive Officer of the Company, certify, pursuant to Section 906 of the Sarbanes-Oxley Act of 2002, 18 U.S.C. Section 1350, that:</w:t>
      </w:r>
    </w:p>
    <w:p>
      <w:pPr>
        <w:spacing w:after="0" w:line="68" w:lineRule="exact"/>
        <w:rPr>
          <w:sz w:val="20"/>
          <w:szCs w:val="20"/>
          <w:color w:val="auto"/>
        </w:rPr>
      </w:pPr>
    </w:p>
    <w:p>
      <w:pPr>
        <w:ind w:left="540" w:right="180" w:hanging="532"/>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June 30, 2015, as filed with the Securities and Exchange Commission on the date hereof (the “Report”), I, Julie M.B. Bradley, Chief Financial Officer of the Company, certify, pursuant to Section 906 of the Sarbanes-Oxley Act of 2002, 18 U.S.C. Section 1350, that:</w:t>
      </w:r>
    </w:p>
    <w:p>
      <w:pPr>
        <w:spacing w:after="0" w:line="68" w:lineRule="exact"/>
        <w:rPr>
          <w:sz w:val="20"/>
          <w:szCs w:val="20"/>
          <w:color w:val="auto"/>
        </w:rPr>
      </w:pPr>
    </w:p>
    <w:p>
      <w:pPr>
        <w:ind w:left="540" w:right="180" w:hanging="532"/>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M.B. BRADLEY</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Julie M.B. Bradley</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emdash "/>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2019-12-29T15:39:02Z</dcterms:created>
  <dcterms:modified xsi:type="dcterms:W3CDTF">2019-12-29T15:39:02Z</dcterms:modified>
</cp:coreProperties>
</file>