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214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80" w:type="dxa"/>
            <w:vAlign w:val="bottom"/>
            <w:gridSpan w:val="2"/>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w w:val="99"/>
              </w:rPr>
              <w:t>001-35362</w:t>
            </w:r>
          </w:p>
        </w:tc>
        <w:tc>
          <w:tcPr>
            <w:tcW w:w="1480" w:type="dxa"/>
            <w:vAlign w:val="bottom"/>
          </w:tcPr>
          <w:p>
            <w:pPr>
              <w:spacing w:after="0"/>
              <w:rPr>
                <w:sz w:val="18"/>
                <w:szCs w:val="18"/>
                <w:color w:val="auto"/>
              </w:rPr>
            </w:pP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80-0743202</w:t>
            </w:r>
          </w:p>
        </w:tc>
      </w:tr>
      <w:tr>
        <w:trPr>
          <w:trHeight w:val="149"/>
        </w:trPr>
        <w:tc>
          <w:tcPr>
            <w:tcW w:w="2140" w:type="dxa"/>
            <w:vAlign w:val="bottom"/>
          </w:tcPr>
          <w:p>
            <w:pPr>
              <w:jc w:val="center"/>
              <w:ind w:right="3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00" w:type="dxa"/>
            <w:vAlign w:val="bottom"/>
          </w:tcPr>
          <w:p>
            <w:pPr>
              <w:jc w:val="center"/>
              <w:ind w:left="5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340" w:type="dxa"/>
            <w:vAlign w:val="bottom"/>
          </w:tcPr>
          <w:p>
            <w:pPr>
              <w:spacing w:after="0"/>
              <w:rPr>
                <w:sz w:val="17"/>
                <w:szCs w:val="17"/>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tc>
        <w:tc>
          <w:tcPr>
            <w:tcW w:w="170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Needham, MA 02494</w:t>
            </w:r>
          </w:p>
        </w:tc>
        <w:tc>
          <w:tcPr>
            <w:tcW w:w="1700" w:type="dxa"/>
            <w:vAlign w:val="bottom"/>
          </w:tcPr>
          <w:p>
            <w:pPr>
              <w:spacing w:after="0"/>
              <w:rPr>
                <w:sz w:val="20"/>
                <w:szCs w:val="20"/>
                <w:color w:val="auto"/>
              </w:rPr>
            </w:pPr>
          </w:p>
        </w:tc>
      </w:tr>
      <w:tr>
        <w:trPr>
          <w:trHeight w:val="220"/>
        </w:trPr>
        <w:tc>
          <w:tcPr>
            <w:tcW w:w="2140" w:type="dxa"/>
            <w:vAlign w:val="bottom"/>
          </w:tcPr>
          <w:p>
            <w:pPr>
              <w:spacing w:after="0"/>
              <w:rPr>
                <w:sz w:val="19"/>
                <w:szCs w:val="19"/>
                <w:color w:val="auto"/>
              </w:rPr>
            </w:pPr>
          </w:p>
        </w:tc>
        <w:tc>
          <w:tcPr>
            <w:tcW w:w="5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700" w:type="dxa"/>
            <w:vAlign w:val="bottom"/>
          </w:tcPr>
          <w:p>
            <w:pPr>
              <w:spacing w:after="0"/>
              <w:rPr>
                <w:sz w:val="19"/>
                <w:szCs w:val="19"/>
                <w:color w:val="auto"/>
              </w:rPr>
            </w:pPr>
          </w:p>
        </w:tc>
      </w:tr>
      <w:tr>
        <w:trPr>
          <w:trHeight w:val="363"/>
        </w:trPr>
        <w:tc>
          <w:tcPr>
            <w:tcW w:w="2140" w:type="dxa"/>
            <w:vAlign w:val="bottom"/>
          </w:tcPr>
          <w:p>
            <w:pPr>
              <w:spacing w:after="0"/>
              <w:rPr>
                <w:sz w:val="24"/>
                <w:szCs w:val="24"/>
                <w:color w:val="auto"/>
              </w:rPr>
            </w:pPr>
          </w:p>
        </w:tc>
        <w:tc>
          <w:tcPr>
            <w:tcW w:w="3580" w:type="dxa"/>
            <w:vAlign w:val="bottom"/>
            <w:gridSpan w:val="2"/>
          </w:tcPr>
          <w:p>
            <w:pPr>
              <w:jc w:val="center"/>
              <w:ind w:left="1221"/>
              <w:spacing w:after="0"/>
              <w:rPr>
                <w:sz w:val="20"/>
                <w:szCs w:val="20"/>
                <w:color w:val="auto"/>
              </w:rPr>
            </w:pPr>
            <w:r>
              <w:rPr>
                <w:rFonts w:ascii="Times New Roman" w:cs="Times New Roman" w:eastAsia="Times New Roman" w:hAnsi="Times New Roman"/>
                <w:sz w:val="18"/>
                <w:szCs w:val="18"/>
                <w:b w:val="1"/>
                <w:bCs w:val="1"/>
                <w:color w:val="auto"/>
                <w:w w:val="99"/>
              </w:rPr>
              <w:t>(781) 800-5000</w:t>
            </w: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36"/>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132"/>
        </w:trPr>
        <w:tc>
          <w:tcPr>
            <w:tcW w:w="2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1700" w:type="dxa"/>
            <w:vAlign w:val="bottom"/>
          </w:tcPr>
          <w:p>
            <w:pPr>
              <w:spacing w:after="0"/>
              <w:rPr>
                <w:sz w:val="11"/>
                <w:szCs w:val="11"/>
                <w:color w:val="auto"/>
              </w:rPr>
            </w:pPr>
          </w:p>
        </w:tc>
      </w:tr>
    </w:tbl>
    <w:p>
      <w:pPr>
        <w:spacing w:after="0" w:line="1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TRIP</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May 7, 2026, Tripadvisor, Inc. issued a press release announcing its preliminary financial results for the quarter ended March 31, 2026. The full text of this press release is furnished as Exhibit 99.1 to this Current Report on Form 8-K.</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Items 2.02 and Exhibit 99.1 shall not be deemed “filed” for purposes of Section 18 of the Securities Exchange Act of 1934, as amended (the “Exchange Act”), or otherwise subject to the liabilities of that section, nor shall they be incorporated by reference in any filing under the Securities Act of 1933, as amended (the “Securities Act”), or the Exchange Act, except as expressly set forth by specific reference in such a filing.</w:t>
      </w:r>
    </w:p>
    <w:p>
      <w:pPr>
        <w:spacing w:after="0" w:line="230"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80"/>
        <w:spacing w:after="0" w:line="181" w:lineRule="auto"/>
        <w:tabs>
          <w:tab w:leader="none" w:pos="780" w:val="left"/>
        </w:tabs>
        <w:rPr>
          <w:sz w:val="20"/>
          <w:szCs w:val="20"/>
          <w:color w:val="auto"/>
        </w:rPr>
      </w:pPr>
      <w:r>
        <w:rPr>
          <w:rFonts w:ascii="Times New Roman" w:cs="Times New Roman" w:eastAsia="Times New Roman" w:hAnsi="Times New Roman"/>
          <w:sz w:val="22"/>
          <w:szCs w:val="22"/>
          <w:b w:val="1"/>
          <w:bCs w:val="1"/>
          <w:color w:val="auto"/>
          <w:vertAlign w:val="subscript"/>
        </w:rPr>
        <w:t>Number</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Tripadvisor, Inc. dated May 7, 2026 regarding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333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7560" cy="8890"/>
                    </a:xfrm>
                    <a:prstGeom prst="rect">
                      <a:avLst/>
                    </a:prstGeom>
                    <a:noFill/>
                  </pic:spPr>
                </pic:pic>
              </a:graphicData>
            </a:graphic>
          </wp:anchor>
        </w:drawing>
      </w:r>
    </w:p>
    <w:p>
      <w:pPr>
        <w:spacing w:after="0" w:line="12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9" w:lineRule="exact"/>
        <w:rPr>
          <w:sz w:val="20"/>
          <w:szCs w:val="20"/>
          <w:color w:val="auto"/>
        </w:rPr>
      </w:pPr>
    </w:p>
    <w:p>
      <w:pPr>
        <w:spacing w:after="0"/>
        <w:tabs>
          <w:tab w:leader="none" w:pos="5680" w:val="left"/>
          <w:tab w:leader="none" w:pos="76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Noonan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19685</wp:posOffset>
            </wp:positionV>
            <wp:extent cx="197993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Tripadvisor Reports First Quarter 2026 Financial Results</w:t>
      </w:r>
    </w:p>
    <w:p>
      <w:pPr>
        <w:spacing w:after="0" w:line="324"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NEEDHAM, MA, </w:t>
      </w:r>
      <w:r>
        <w:rPr>
          <w:rFonts w:ascii="Times New Roman" w:cs="Times New Roman" w:eastAsia="Times New Roman" w:hAnsi="Times New Roman"/>
          <w:sz w:val="20"/>
          <w:szCs w:val="20"/>
          <w:color w:val="auto"/>
        </w:rPr>
        <w:t>May 7, 2026 — Tripadvisor, Inc. (NASDAQ: TRIP) today announced financial results for the first quarter ended March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Financial highlights</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first quarter was $382.4 million, a decline of 4% year-over-year.</w:t>
      </w:r>
    </w:p>
    <w:p>
      <w:pPr>
        <w:spacing w:after="0" w:line="2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for the first quarter was $32.4 million, or $(0.28) diluted EPS.</w:t>
      </w: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Non-GAAP net loss for the first quarter was $13.1 million, or $(0.11) diluted EPS.</w:t>
      </w: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first quarter was $22.1 million, or 5.8% of revenue.</w:t>
      </w:r>
    </w:p>
    <w:p>
      <w:pPr>
        <w:spacing w:after="0" w:line="19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kicked off 2026 by delivering Q1 Group revenue in-line and adjusted EBITDA ahead of expectations, despite the dynamic changes in the macro environment between the start and end of the period,” said Chief Executive Officer Matt Goldberg. “In Experiences we started the quarter with accelerated growth, reflecting the strength of our combined offering and the underlying opportunity we see in the category as we continue to scale globally. We are dedicated to driving a durable leadership position in Experiences, simplifying our portfolio, and focusing on the best path for value recognition across our assets.”</w:t>
      </w:r>
    </w:p>
    <w:p>
      <w:pPr>
        <w:spacing w:after="0" w:line="18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“We are pleased with our first quarter results, which reflect the strategic shift of our priorities toward Experiences and the simplification of our legacy portfolio,” said Chief Financial Officer Mike Noonan. “Despite macro uncertainties, we remain committed to disciplined investments across marketing, product, and data to deliver a best-in-class traveler experience. These priorities reinforce our confidence in sustainable revenue and profit growth for both Experiences and the Group.”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First Quarter 2026 Summary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 and per share amounts)</w:t>
            </w:r>
          </w:p>
        </w:tc>
        <w:tc>
          <w:tcPr>
            <w:tcW w:w="280" w:type="dxa"/>
            <w:vAlign w:val="bottom"/>
          </w:tcPr>
          <w:p>
            <w:pPr>
              <w:spacing w:after="0"/>
              <w:rPr>
                <w:sz w:val="15"/>
                <w:szCs w:val="15"/>
                <w:color w:val="auto"/>
              </w:rPr>
            </w:pPr>
          </w:p>
        </w:tc>
        <w:tc>
          <w:tcPr>
            <w:tcW w:w="26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Experiences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Hotels and Other </w:t>
            </w:r>
            <w:r>
              <w:rPr>
                <w:rFonts w:ascii="Times New Roman" w:cs="Times New Roman" w:eastAsia="Times New Roman" w:hAnsi="Times New Roman"/>
                <w:sz w:val="14"/>
                <w:szCs w:val="14"/>
                <w:color w:val="auto"/>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TheFork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1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1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Adjusted EBITDA </w:t>
            </w: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Experiences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Hotels and Other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TheFork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Non-GAAP Net Income (Loss) </w:t>
            </w:r>
            <w:r>
              <w:rPr>
                <w:rFonts w:ascii="Times New Roman" w:cs="Times New Roman" w:eastAsia="Times New Roman" w:hAnsi="Times New Roman"/>
                <w:sz w:val="14"/>
                <w:szCs w:val="14"/>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GAAP</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1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Non-GAAP </w:t>
            </w:r>
            <w:r>
              <w:rPr>
                <w:rFonts w:ascii="Times New Roman" w:cs="Times New Roman" w:eastAsia="Times New Roman" w:hAnsi="Times New Roman"/>
                <w:sz w:val="14"/>
                <w:szCs w:val="14"/>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98" w:lineRule="exact"/>
        <w:rPr>
          <w:sz w:val="20"/>
          <w:szCs w:val="20"/>
          <w:color w:val="auto"/>
        </w:rPr>
      </w:pPr>
    </w:p>
    <w:p>
      <w:pPr>
        <w:ind w:left="500" w:hanging="34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Hotels and Other segment revenue figures shown in this table are gross of intersegment (intercompany) revenue, which is eliminated on a consolidated basis.</w:t>
      </w:r>
    </w:p>
    <w:p>
      <w:pPr>
        <w:spacing w:after="0" w:line="3" w:lineRule="exact"/>
        <w:rPr>
          <w:rFonts w:ascii="Times New Roman" w:cs="Times New Roman" w:eastAsia="Times New Roman" w:hAnsi="Times New Roman"/>
          <w:sz w:val="14"/>
          <w:szCs w:val="14"/>
          <w:color w:val="auto"/>
        </w:rPr>
      </w:pPr>
    </w:p>
    <w:p>
      <w:pPr>
        <w:ind w:left="500" w:right="920" w:hanging="342"/>
        <w:spacing w:after="0" w:line="223"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Adjusted EBITDA,” “Non-GAAP Net Income (Loss),” “Non-GAAP Diluted Earnings (Loss) per Share,” and “Free cash flow” are non-GAAP measures as defined by the U.S. Securities and Exchange Commission (the “SEC”). Please refer to “</w:t>
      </w:r>
      <w:r>
        <w:rPr>
          <w:rFonts w:ascii="Times New Roman" w:cs="Times New Roman" w:eastAsia="Times New Roman" w:hAnsi="Times New Roman"/>
          <w:sz w:val="14"/>
          <w:szCs w:val="14"/>
          <w:i w:val="1"/>
          <w:iCs w:val="1"/>
          <w:color w:val="auto"/>
        </w:rPr>
        <w:t>Non-GAAP Financial Measures</w:t>
      </w:r>
      <w:r>
        <w:rPr>
          <w:rFonts w:ascii="Times New Roman" w:cs="Times New Roman" w:eastAsia="Times New Roman" w:hAnsi="Times New Roman"/>
          <w:sz w:val="14"/>
          <w:szCs w:val="14"/>
          <w:color w:val="auto"/>
        </w:rPr>
        <w:t>” below for definitions and explanations of these non-GAAP financial measures, as well as tabular reconciliations to the most directly comparable GAAP financial measures.</w:t>
      </w: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Cost performance – </w:t>
      </w:r>
      <w:r>
        <w:rPr>
          <w:rFonts w:ascii="Times New Roman" w:cs="Times New Roman" w:eastAsia="Times New Roman" w:hAnsi="Times New Roman"/>
          <w:sz w:val="20"/>
          <w:szCs w:val="20"/>
          <w:color w:val="auto"/>
        </w:rPr>
        <w:t>Total costs and expenses were $407.6 million for the first quarter, a decrease of 1% year-over-year, primarily driven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tcPr>
          <w:p>
            <w:pPr>
              <w:spacing w:after="0"/>
              <w:rPr>
                <w:sz w:val="18"/>
                <w:szCs w:val="18"/>
                <w:color w:val="auto"/>
              </w:rPr>
            </w:pPr>
          </w:p>
        </w:tc>
        <w:tc>
          <w:tcPr>
            <w:tcW w:w="11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4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tcPr>
          <w:p>
            <w:pPr>
              <w:spacing w:after="0"/>
              <w:rPr>
                <w:sz w:val="18"/>
                <w:szCs w:val="18"/>
                <w:color w:val="auto"/>
              </w:rPr>
            </w:pPr>
          </w:p>
        </w:tc>
        <w:tc>
          <w:tcPr>
            <w:tcW w:w="11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11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10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10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36.1%</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&amp; Liquidity – </w:t>
      </w:r>
      <w:r>
        <w:rPr>
          <w:rFonts w:ascii="Times New Roman" w:cs="Times New Roman" w:eastAsia="Times New Roman" w:hAnsi="Times New Roman"/>
          <w:sz w:val="20"/>
          <w:szCs w:val="20"/>
          <w:color w:val="auto"/>
        </w:rPr>
        <w:t>As of March 31, 2026, the Company had approximately $1.1 billion of cash and cash equivalents, an increase of $85.5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from December 31, 2025. Subsequently, on April 1, 2026, the Company used $345.4 million of its existing cash and cash equivalents to fully repay its 2026 Senior Notes due on April 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 Highlights: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Experiences</w:t>
      </w:r>
    </w:p>
    <w:p>
      <w:pPr>
        <w:spacing w:after="0" w:line="26" w:lineRule="exact"/>
        <w:rPr>
          <w:sz w:val="20"/>
          <w:szCs w:val="20"/>
          <w:color w:val="auto"/>
        </w:rPr>
      </w:pPr>
    </w:p>
    <w:p>
      <w:pPr>
        <w:ind w:left="1540" w:right="680" w:hanging="514"/>
        <w:spacing w:after="0" w:line="239"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first quarter was $167.9 million, reflecting year-over-year growth of 8%. Excluding the impact of currency exchange rate fluctuations, year-over-year growth was approximately 4%.</w:t>
      </w:r>
    </w:p>
    <w:p>
      <w:pPr>
        <w:ind w:left="1540" w:right="160" w:hanging="514"/>
        <w:spacing w:after="0" w:line="239"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experience bookings was approximately 5.6 million during the first quarter, an increase of approximately 11%, when compared to the same period in 2025. Experience bookings include a single tour, activity, or attraction that can be purchased through Viator's platform for one or several travelers, prior to adjustments such as date changes, refunds, or cancellations.</w:t>
      </w:r>
    </w:p>
    <w:p>
      <w:pPr>
        <w:spacing w:after="0" w:line="1" w:lineRule="exact"/>
        <w:rPr>
          <w:rFonts w:ascii="Times New Roman" w:cs="Times New Roman" w:eastAsia="Times New Roman" w:hAnsi="Times New Roman"/>
          <w:sz w:val="20"/>
          <w:szCs w:val="20"/>
          <w:color w:val="auto"/>
        </w:rPr>
      </w:pPr>
    </w:p>
    <w:p>
      <w:pPr>
        <w:ind w:left="1540" w:right="240" w:hanging="514"/>
        <w:spacing w:after="0" w:line="239"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bookings value (“GBV”) reached approximately $1.2 billion during the first quarter, reflecting year-over-year growth of approximately 13%. GBV is reported at the time of booking and is gross of cancellations, whereas revenue is recorded at the time of the experience and is net of cancellations.</w:t>
      </w:r>
    </w:p>
    <w:p>
      <w:pPr>
        <w:spacing w:after="0" w:line="1" w:lineRule="exact"/>
        <w:rPr>
          <w:rFonts w:ascii="Times New Roman" w:cs="Times New Roman" w:eastAsia="Times New Roman" w:hAnsi="Times New Roman"/>
          <w:sz w:val="20"/>
          <w:szCs w:val="20"/>
          <w:color w:val="auto"/>
        </w:rPr>
      </w:pPr>
    </w:p>
    <w:p>
      <w:pPr>
        <w:ind w:left="1540" w:right="60" w:hanging="514"/>
        <w:spacing w:after="0" w:line="246"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loss for the first quarter was $19.2 million, or (11.4)% of revenue, compared to adjusted EBITDA loss in the same period a year ago of $14.1 million, or (9.1)% of revenue.</w:t>
      </w: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i w:val="1"/>
          <w:iCs w:val="1"/>
          <w:color w:val="auto"/>
        </w:rPr>
        <w:t>Hotels and Other</w:t>
      </w:r>
    </w:p>
    <w:p>
      <w:pPr>
        <w:spacing w:after="0" w:line="26" w:lineRule="exact"/>
        <w:rPr>
          <w:sz w:val="20"/>
          <w:szCs w:val="20"/>
          <w:color w:val="auto"/>
        </w:rPr>
      </w:pPr>
    </w:p>
    <w:p>
      <w:pPr>
        <w:ind w:left="1540" w:right="440" w:hanging="514"/>
        <w:spacing w:after="0" w:line="246" w:lineRule="auto"/>
        <w:tabs>
          <w:tab w:leader="none" w:pos="1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first quarter was $157.9 million, reflecting a year-over-year decline of 20%. Excluding the impact of currency exchange rate fluctuations, year-over-year decline was approximately 22%.</w:t>
      </w:r>
    </w:p>
    <w:p>
      <w:pPr>
        <w:spacing w:after="0" w:line="73" w:lineRule="exact"/>
        <w:rPr>
          <w:rFonts w:ascii="Times New Roman" w:cs="Times New Roman" w:eastAsia="Times New Roman" w:hAnsi="Times New Roman"/>
          <w:sz w:val="20"/>
          <w:szCs w:val="20"/>
          <w:color w:val="auto"/>
        </w:rPr>
      </w:pP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Hotels revenue for the first quarter was $114.4 million, reflecting a year-over-year decline of 23%.</w:t>
      </w:r>
    </w:p>
    <w:p>
      <w:pPr>
        <w:spacing w:after="0" w:line="21" w:lineRule="exact"/>
        <w:rPr>
          <w:rFonts w:ascii="Times New Roman" w:cs="Times New Roman" w:eastAsia="Times New Roman" w:hAnsi="Times New Roman"/>
          <w:sz w:val="20"/>
          <w:szCs w:val="20"/>
          <w:color w:val="auto"/>
        </w:rPr>
      </w:pP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Media and advertising revenue for the first quarter was $28.0 million, reflecting a year-over-year decline of 9%.</w:t>
      </w:r>
    </w:p>
    <w:p>
      <w:pPr>
        <w:ind w:left="1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9"/>
          <w:szCs w:val="19"/>
          <w:color w:val="auto"/>
        </w:rPr>
        <w:t>Other revenue for the first quarter was $15.5 million, reflecting a year-over-year decline of 13%.</w:t>
      </w:r>
    </w:p>
    <w:p>
      <w:pPr>
        <w:spacing w:after="0" w:line="85" w:lineRule="exact"/>
        <w:rPr>
          <w:rFonts w:ascii="Times New Roman" w:cs="Times New Roman" w:eastAsia="Times New Roman" w:hAnsi="Times New Roman"/>
          <w:sz w:val="20"/>
          <w:szCs w:val="20"/>
          <w:color w:val="auto"/>
        </w:rPr>
      </w:pPr>
    </w:p>
    <w:p>
      <w:pPr>
        <w:ind w:left="1540" w:right="420" w:hanging="514"/>
        <w:spacing w:after="0" w:line="269" w:lineRule="auto"/>
        <w:tabs>
          <w:tab w:leader="none" w:pos="1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first quarter was $36.7 million, or 23.2% of revenue, compared to adjusted EBITDA in the same period a year ago of $61.4 million, or 31.2% of revenue.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20"/>
          <w:szCs w:val="20"/>
          <w:i w:val="1"/>
          <w:iCs w:val="1"/>
          <w:color w:val="auto"/>
        </w:rPr>
        <w:t>TheFork</w:t>
      </w:r>
    </w:p>
    <w:p>
      <w:pPr>
        <w:spacing w:after="0" w:line="26" w:lineRule="exact"/>
        <w:rPr>
          <w:sz w:val="20"/>
          <w:szCs w:val="20"/>
          <w:color w:val="auto"/>
        </w:rPr>
      </w:pPr>
    </w:p>
    <w:p>
      <w:pPr>
        <w:ind w:left="1540" w:right="560" w:hanging="514"/>
        <w:spacing w:after="0" w:line="239" w:lineRule="auto"/>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first quarter was $57.3 million, reflecting year-over-year growth of 23%. Excluding the impact of currency exchange rate fluctuations, year-over-year growth was approximately 11%.</w:t>
      </w:r>
    </w:p>
    <w:p>
      <w:pPr>
        <w:ind w:left="1540" w:hanging="51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number of bookings during the first quarter grew year-over-year by approximately 6%.</w:t>
      </w:r>
    </w:p>
    <w:p>
      <w:pPr>
        <w:ind w:left="1540" w:right="140" w:hanging="514"/>
        <w:spacing w:after="0" w:line="246" w:lineRule="auto"/>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the first quarter was $4.6 million, or 8.0% of revenue, compared to adjusted EBITDA loss in the same period a year ago of $3.5 million, or (7.5)% of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and Related Reorganization Action</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previously disclosed, during the fourth quarter of 2025, the Company initiated a series of cost savings actions to support the Company’s positioning as an experiences-led and AI-enabled company. As a result of these actions, the Company incurred pre-tax restructuring and other related reorganization costs of $3.3 million during the first quarter of 2026, which consisted of employee severance and related benefits, primarily in our Hotels and Other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Repayment of 2026 Senior Notes and Expiration of Capped Calls</w:t>
      </w:r>
    </w:p>
    <w:p>
      <w:pPr>
        <w:spacing w:after="0" w:line="220"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On April 1, 2026, the Company fully repaid its 0.25% Convertible Senior Notes due 2026 (“2026 Senior Notes”), at maturity, for $345.4 million, consisting of principal and accrued interest, funded by cash on hand. In connection with the maturity and repayment of the 2026 Senior Notes on April 1, 2026, the Capped Calls also expired unexercised.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Tripadvisor will host a conference call later this morning, May 7, 2026, at 8:30 a.m., Eastern Time, to discuss the Company’s first quarter 2026 financial results, </w:t>
      </w:r>
      <w:r>
        <w:rPr>
          <w:rFonts w:ascii="Times New Roman" w:cs="Times New Roman" w:eastAsia="Times New Roman" w:hAnsi="Times New Roman"/>
          <w:sz w:val="20"/>
          <w:szCs w:val="20"/>
          <w:color w:val="1D1C1D"/>
        </w:rPr>
        <w:t>which may include forward-looking information</w:t>
      </w:r>
      <w:r>
        <w:rPr>
          <w:rFonts w:ascii="Times New Roman" w:cs="Times New Roman" w:eastAsia="Times New Roman" w:hAnsi="Times New Roman"/>
          <w:sz w:val="20"/>
          <w:szCs w:val="20"/>
          <w:color w:val="auto"/>
        </w:rPr>
        <w:t xml:space="preserve"> about Tripadvisor’s business. Investors and other interested parties may also go to the Investor Relations section of Tripadvisor’s website at http://ir.tripadvisor.com for a live webcast of the conference call. A replay of the conference call will be available on Tripadvisor’s website for three months.</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3" w:right="459" w:bottom="1440" w:gutter="0" w:footer="0" w:header="0"/>
        </w:sectPr>
      </w:pPr>
    </w:p>
    <w:bookmarkStart w:id="6" w:name="page7"/>
    <w:bookmarkEnd w:id="6"/>
    <w:p>
      <w:pPr>
        <w:ind w:left="3900"/>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304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40" w:type="dxa"/>
            <w:vAlign w:val="bottom"/>
          </w:tcPr>
          <w:p>
            <w:pPr>
              <w:spacing w:after="0"/>
              <w:rPr>
                <w:sz w:val="12"/>
                <w:szCs w:val="12"/>
                <w:color w:val="auto"/>
              </w:rPr>
            </w:pPr>
          </w:p>
        </w:tc>
        <w:tc>
          <w:tcPr>
            <w:tcW w:w="10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(including stock-based compensation of $20.7 and $27.9, respectively)</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3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w:t>
            </w:r>
          </w:p>
        </w:tc>
        <w:tc>
          <w:tcPr>
            <w:tcW w:w="10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10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75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10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(32.4)</w:t>
            </w: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7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1060" w:type="dxa"/>
            <w:vAlign w:val="bottom"/>
            <w:shd w:val="clear" w:color="auto" w:fill="CFF0FC"/>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1060" w:type="dxa"/>
            <w:vAlign w:val="bottom"/>
          </w:tcPr>
          <w:p>
            <w:pPr>
              <w:jc w:val="right"/>
              <w:ind w:right="8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7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-2527935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-1688465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-1688465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-1405255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shd w:val="clear" w:color="auto" w:fill="CFF0FC"/>
          </w:tcPr>
          <w:p>
            <w:pPr>
              <w:spacing w:after="0"/>
              <w:rPr>
                <w:sz w:val="19"/>
                <w:szCs w:val="19"/>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$28.5 and $27.4, respectively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$634.6 and $620.2, respectively</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 assets, net of accumulated amortization of $198.8 and $199.6, respectively</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Non-marketable investments</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long-term assets, net of allowance for expected credit losses of $10.0 and $10.0, respectively</w:t>
            </w:r>
          </w:p>
        </w:tc>
        <w:tc>
          <w:tcPr>
            <w:tcW w:w="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2,725.5</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2,625.4</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debt</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1,980.5</w:t>
            </w:r>
          </w:p>
        </w:tc>
        <w:tc>
          <w:tcPr>
            <w:tcW w:w="100" w:type="dxa"/>
            <w:vAlign w:val="bottom"/>
          </w:tcPr>
          <w:p>
            <w:pPr>
              <w:spacing w:after="0"/>
              <w:rPr>
                <w:sz w:val="18"/>
                <w:szCs w:val="18"/>
                <w:color w:val="auto"/>
              </w:rPr>
            </w:pPr>
          </w:p>
        </w:tc>
      </w:tr>
      <w:tr>
        <w:trPr>
          <w:trHeight w:val="210"/>
        </w:trPr>
        <w:tc>
          <w:tcPr>
            <w:tcW w:w="7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Shares issued: 122,399,761 and 120,577,305, respectively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Shares outstanding: 116,294,499 and 114,472,043, respectively</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stock-common stock, at cost, 6,105,262 and 6,105,262 shares, respectively</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r>
      <w:tr>
        <w:trPr>
          <w:trHeight w:val="210"/>
        </w:trPr>
        <w:tc>
          <w:tcPr>
            <w:tcW w:w="7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6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100" w:type="dxa"/>
            <w:vAlign w:val="bottom"/>
            <w:tcBorders>
              <w:top w:val="single" w:sz="8" w:color="CFF0FC"/>
            </w:tcBorders>
          </w:tcPr>
          <w:p>
            <w:pPr>
              <w:spacing w:after="0"/>
              <w:rPr>
                <w:sz w:val="18"/>
                <w:szCs w:val="18"/>
                <w:color w:val="auto"/>
              </w:rPr>
            </w:pPr>
          </w:p>
        </w:tc>
      </w:tr>
      <w:tr>
        <w:trPr>
          <w:trHeight w:val="22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2,625.4</w:t>
            </w:r>
          </w:p>
        </w:tc>
        <w:tc>
          <w:tcPr>
            <w:tcW w:w="100" w:type="dxa"/>
            <w:vAlign w:val="bottom"/>
            <w:shd w:val="clear" w:color="auto" w:fill="CFF0FC"/>
          </w:tcPr>
          <w:p>
            <w:pPr>
              <w:spacing w:after="0"/>
              <w:rPr>
                <w:sz w:val="19"/>
                <w:szCs w:val="19"/>
                <w:color w:val="auto"/>
              </w:rPr>
            </w:pPr>
          </w:p>
        </w:tc>
      </w:tr>
      <w:tr>
        <w:trPr>
          <w:trHeight w:val="20"/>
        </w:trPr>
        <w:tc>
          <w:tcPr>
            <w:tcW w:w="7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-5596890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-5596890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-4491355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-3085465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-2253615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r>
      <w:tr>
        <w:trPr>
          <w:trHeight w:val="196"/>
        </w:trPr>
        <w:tc>
          <w:tcPr>
            <w:tcW w:w="7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7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7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Term Loan B Facility, net of financing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Pr>
          <w:p>
            <w:pPr>
              <w:spacing w:after="0"/>
              <w:rPr>
                <w:sz w:val="18"/>
                <w:szCs w:val="18"/>
                <w:color w:val="auto"/>
              </w:rPr>
            </w:pP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Principal payments on Term Loan B Facility</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Funding of term loan facility for related party</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(326.7)</w:t>
            </w: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finance lease obligation and other financing activities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6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20" w:type="dxa"/>
            <w:vAlign w:val="bottom"/>
          </w:tcPr>
          <w:p>
            <w:pPr>
              <w:spacing w:after="0"/>
              <w:rPr>
                <w:sz w:val="18"/>
                <w:szCs w:val="18"/>
                <w:color w:val="auto"/>
              </w:rPr>
            </w:pPr>
          </w:p>
        </w:tc>
      </w:tr>
      <w:tr>
        <w:trPr>
          <w:trHeight w:val="25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20" w:type="dxa"/>
            <w:vAlign w:val="bottom"/>
            <w:shd w:val="clear" w:color="auto" w:fill="CFF0FC"/>
          </w:tcPr>
          <w:p>
            <w:pPr>
              <w:spacing w:after="0"/>
              <w:rPr>
                <w:sz w:val="21"/>
                <w:szCs w:val="21"/>
                <w:color w:val="auto"/>
              </w:rPr>
            </w:pPr>
          </w:p>
        </w:tc>
      </w:tr>
      <w:tr>
        <w:trPr>
          <w:trHeight w:val="196"/>
        </w:trPr>
        <w:tc>
          <w:tcPr>
            <w:tcW w:w="7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-299085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-281940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7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To supplement our unaudited condensed consolidated financial statements, which are prepared and presented in accordance with accounting principles generally accepted in the United States (“GAAP”), we also report certain non-GAAP financial measures.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These non-GAAP financial measures are not prepared under a comprehensive set of accounting rules and, therefore, should only be reviewed alongside results reported under GAAP.</w:t>
      </w:r>
    </w:p>
    <w:p>
      <w:pPr>
        <w:spacing w:after="0" w:line="19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may use the following non-GAAP measures: consolidated Adjusted EBITDA (including forecasted consolidated Adjusted EBITDA), consolidated Adjusted EBITDA margin (including forecasted consolidated Adjusted EBITDA margin), non-GAAP net income (loss), non-GAAP earnings (loss) per diluted earnings (loss) per share, free cash flow, and non-GAAP total revenue growth before foreign exchange effect (or “constant currency basis” revenue growth), as well as other measures.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The presentation of these non-GAAP financial measures is not intended to be considered in isolation or as a substitute for, or superior to, financial information prepared and presented in accordance with GAAP and should not be considered measures of Tripadvisor’s liquidity, except for free cash flow. Investors are cautioned that there are material limitations associated with the use of non-GAAP financial measures as an analytical tool. In particular, these non-GAAP financial measures do not take into account the impact of certain expenses to our unaudited condensed consolidated statements of operations. In addition, these measures may be different from non-GAAP financial measures used by other companies, even where similarly titled, limiting their usefulness for comparison purposes and therefore should not be used to compare Tripadvisor’s performance to that of other companies. We endeavor to compensate for the limitations of the non-GAAP financial measures presented by providing tabular reconciliations to the most directly comparable GAAP financial measure, definitions, limitations, and other related information about these non-GAAP financial measures. We do not reconcile consolidated Adjusted EBITDA and Adjusted EBITDA margin guidance to projected consolidated GAAP net income (loss) because GAAP net income (loss) or the reconciling items between consolidated Adjusted EBITDA and Adjusted EBITDA margin and GAAP net income (loss) are unavailable on a forward-looking basis, as a result of the uncertainty regarding, and the potential variability of, certain of these items. Accordingly, a reconciliation of the non-GAAP financial measure guidance to the corresponding GAAP measure is not available without unreasonable effort.</w:t>
      </w:r>
    </w:p>
    <w:p>
      <w:pPr>
        <w:spacing w:after="0" w:line="19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believe these non-GAAP financial measures provide investors and analysts with useful supplemental information about the financial performance of our business, enable comparison of financial results between periods where certain items may vary independent of business performance, and/or allow for greater transparency with respect to key measures used by management to operate and analyze our business over different periods of time.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define our non-GAAP financial measures as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Tripadvisor defines “Adjusted EBITDA” as net income (loss) plus: (1) provision (benefit) for income taxes; (2) other expense (income), net;</w:t>
      </w:r>
    </w:p>
    <w:p>
      <w:pPr>
        <w:spacing w:after="0" w:line="33"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(4) stock-based compensation expense; (5) goodwill, long-lived assets and intangible asset impairments;</w:t>
      </w:r>
    </w:p>
    <w:p>
      <w:pPr>
        <w:ind w:right="20" w:firstLine="8"/>
        <w:spacing w:after="0"/>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(income) unusual in nature or infrequently occurring. These items are excluded from our Adjusted EBITDA performance measure because these items are non-cash in nature, or because the amount is unpredictable, not driven by core operating results and renders comparisons with prior periods and competitors less meaningful. The Company believes that excluding these amounts better enables management and investors to compare financial results between periods as these costs may vary independent of business performance.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Tripadvisor defines “Adjusted EBITDA margin” as Adjusted EBITDA divided by revenue.</w:t>
      </w:r>
    </w:p>
    <w:p>
      <w:pPr>
        <w:spacing w:after="0" w:line="229"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Adjusted EBITDA and Adjusted EBITDA margin are key operating performance measures used by our management and board of directors to understand and evaluate the financial performance of our business as a whole and our individual business segments, and on which internal budgets and forecasts are based and approved. In particular, the exclusion of certain expenses in calculating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10" w:name="page11"/>
    <w:bookmarkEnd w:id="10"/>
    <w:p>
      <w:pPr>
        <w:ind w:right="140"/>
        <w:spacing w:after="0" w:line="246" w:lineRule="auto"/>
        <w:rPr>
          <w:sz w:val="20"/>
          <w:szCs w:val="20"/>
          <w:color w:val="auto"/>
        </w:rPr>
      </w:pPr>
      <w:r>
        <w:rPr>
          <w:rFonts w:ascii="Times New Roman" w:cs="Times New Roman" w:eastAsia="Times New Roman" w:hAnsi="Times New Roman"/>
          <w:sz w:val="20"/>
          <w:szCs w:val="20"/>
          <w:color w:val="auto"/>
        </w:rPr>
        <w:t>Adjusted EBITDA can provide a useful measure for period-to-period comparisons and better enables management and investors to compare financial results between periods as these costs may vary independent of core business performance. Accordingly, we believe that Adjusted EBITDA and Adjusted EBITDA margin provide useful information to investors and others in understanding and evaluating our operating results in the same manner as our management and board of directors and allows for a useful comparison of our performance with our historical results from prior periods.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of these limitations are:</w:t>
      </w:r>
    </w:p>
    <w:p>
      <w:pPr>
        <w:spacing w:after="0" w:line="108" w:lineRule="exact"/>
        <w:rPr>
          <w:sz w:val="20"/>
          <w:szCs w:val="20"/>
          <w:color w:val="auto"/>
        </w:rPr>
      </w:pPr>
    </w:p>
    <w:p>
      <w:pPr>
        <w:ind w:left="1020" w:right="800" w:hanging="503"/>
        <w:spacing w:after="0" w:line="269"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our cash expenditures or future requirements for capital expenditures or contractual commitments;</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changes in, or cash requirements for, our working capital needs;</w:t>
      </w:r>
    </w:p>
    <w:p>
      <w:pPr>
        <w:spacing w:after="0" w:line="107" w:lineRule="exact"/>
        <w:rPr>
          <w:rFonts w:ascii="Times New Roman" w:cs="Times New Roman" w:eastAsia="Times New Roman" w:hAnsi="Times New Roman"/>
          <w:sz w:val="20"/>
          <w:szCs w:val="20"/>
          <w:color w:val="auto"/>
        </w:rPr>
      </w:pPr>
    </w:p>
    <w:p>
      <w:pPr>
        <w:ind w:left="1020" w:right="120" w:hanging="503"/>
        <w:spacing w:after="0" w:line="269"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the interest expense or cash requirements necessary to service interest or principal payments on our debt;</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consider the potentially dilutive impact of stock-based compensation;</w:t>
      </w:r>
    </w:p>
    <w:p>
      <w:pPr>
        <w:spacing w:after="0" w:line="107" w:lineRule="exact"/>
        <w:rPr>
          <w:rFonts w:ascii="Times New Roman" w:cs="Times New Roman" w:eastAsia="Times New Roman" w:hAnsi="Times New Roman"/>
          <w:sz w:val="20"/>
          <w:szCs w:val="20"/>
          <w:color w:val="auto"/>
        </w:rPr>
      </w:pPr>
    </w:p>
    <w:p>
      <w:pPr>
        <w:ind w:left="1020" w:right="20" w:hanging="503"/>
        <w:spacing w:after="0" w:line="254"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6" w:lineRule="exact"/>
        <w:rPr>
          <w:rFonts w:ascii="Times New Roman" w:cs="Times New Roman" w:eastAsia="Times New Roman" w:hAnsi="Times New Roman"/>
          <w:sz w:val="20"/>
          <w:szCs w:val="20"/>
          <w:color w:val="auto"/>
        </w:rPr>
      </w:pPr>
    </w:p>
    <w:p>
      <w:pPr>
        <w:jc w:val="both"/>
        <w:ind w:left="1020" w:right="40" w:hanging="503"/>
        <w:spacing w:after="0" w:line="254"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certain income and expenses not directly tied to the ongoing core operations of our business, including, but not limited to, legal reserves, settlements and other, as well as restructuring and other related reorganization costs, and transaction related expenses;</w:t>
      </w:r>
    </w:p>
    <w:p>
      <w:pPr>
        <w:spacing w:after="0" w:line="6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tax payments that may represent a reduction in cash available to us;</w:t>
      </w:r>
    </w:p>
    <w:p>
      <w:pPr>
        <w:spacing w:after="0" w:line="107" w:lineRule="exact"/>
        <w:rPr>
          <w:rFonts w:ascii="Times New Roman" w:cs="Times New Roman" w:eastAsia="Times New Roman" w:hAnsi="Times New Roman"/>
          <w:sz w:val="20"/>
          <w:szCs w:val="20"/>
          <w:color w:val="auto"/>
        </w:rPr>
      </w:pPr>
    </w:p>
    <w:p>
      <w:pPr>
        <w:ind w:left="1020" w:right="800" w:hanging="503"/>
        <w:spacing w:after="0" w:line="269"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is unaudited and does not conform to SEC Regulation S-X, and as a result such information may be presented differently in our future filings with the SEC; and</w:t>
      </w:r>
    </w:p>
    <w:p>
      <w:pPr>
        <w:spacing w:after="0" w:line="51" w:lineRule="exact"/>
        <w:rPr>
          <w:rFonts w:ascii="Times New Roman" w:cs="Times New Roman" w:eastAsia="Times New Roman" w:hAnsi="Times New Roman"/>
          <w:sz w:val="20"/>
          <w:szCs w:val="20"/>
          <w:color w:val="auto"/>
        </w:rPr>
      </w:pPr>
    </w:p>
    <w:p>
      <w:pPr>
        <w:ind w:left="1020" w:right="80" w:hanging="503"/>
        <w:spacing w:after="0" w:line="269" w:lineRule="auto"/>
        <w:tabs>
          <w:tab w:leader="none" w:pos="10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including companies in our own industry, may calculate Adjusted EBITDA differently than we do, limiting its usefulness as a comparative measure.</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Tripadvisor defines “non-GAAP net income (loss)” as GAAP net income (loss) excluding: (1) stock-based compensation expense; (2) amortization of intangible assets; (3) goodwill, intangible asset, and other long-lived asset impairments; (4) legal reserves, settlements and other (including indirect tax reserves related to audit settlements and the impact of one-time changes resulting from enacted indirect tax legislation); (5) restructuring and other related reorganization costs; (6) transaction related expenses (including non-operational costs related to significant shareholder activism, which includes third-party advisory, legal, and other professional fees); and (7) non-recurring expenses (income) or expenses unusual in nature or infrequently occurring that we do not believe are indicative of our ongoing operating results. The non-GAAP adjustments described previously are reported on a pre-tax basis. The income tax effect on these non-GAAP adjustments is calculated based on the individual impact that these items had on our GAAP consolidated income tax expense (benefit) for the periods presented, in addition to non-recurring or infrequent discrete tax items (including significant adjustments related to (i) tax audit reserves/settlements; (ii) non-recurring or infrequent income tax reserves or adjustments; and (iii) the impact of one-time changes resulting from tax legislation or legislation that impacts taxes, such as the Coronavirus Aid, Relief, and Economic Security Act (the “CARES Act”) or the Tax Cuts and Jobs Act of 2017 (the “2017 Tax Act”)). We believe non-GAAP net income (loss) is an operating performance measure that provides investors and analysts with useful supplemental information about the financial performance of our business, as it incorporates our unaudited condensed consolidated statement of operations, taking into account depreciation, which management believes is an ongoing cost of doing business, as well as other items which are not allocated to the operating businesses such as interest expense, interest income, income taxes, and foreign exchange gains and losses, but excluding the impact of certain expenses, infrequently occurring items and items not directly tied to the ongoing core operations of our businesses. Non-GAAP net income (loss) also enables comparison of financial results between periods where certain items may vary independent of business performance.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80"/>
        <w:spacing w:after="0" w:line="245" w:lineRule="auto"/>
        <w:rPr>
          <w:sz w:val="20"/>
          <w:szCs w:val="20"/>
          <w:color w:val="auto"/>
        </w:rPr>
      </w:pPr>
      <w:r>
        <w:rPr>
          <w:rFonts w:ascii="Times New Roman" w:cs="Times New Roman" w:eastAsia="Times New Roman" w:hAnsi="Times New Roman"/>
          <w:sz w:val="20"/>
          <w:szCs w:val="20"/>
          <w:color w:val="auto"/>
        </w:rPr>
        <w:t>Tripadvisor defines “non-GAAP earnings (loss) per diluted share,” or “non-GAAP diluted EPS,” as non-GAAP net income (loss) divided by GAAP diluted shares. We believe non-GAAP diluted EPS is useful to investors because it represents, on a per share basis, our unaudited condensed consolidated statement of operations, taking into account depreciation, which we believe is an ongoing cost of doing business, as well as other items which are not allocated to the operating businesses such as interest expense, interest income, income taxes and foreign exchange gains or losses, but excludes the effects of certain expenses not directly tied to the ongoing core operations of our business. Tripadvisor calculates non-GAAP diluted EPS using weighted average diluted shares prepared under GAAP.</w:t>
      </w:r>
    </w:p>
    <w:p>
      <w:pPr>
        <w:spacing w:after="0" w:line="19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Non-GAAP net income (loss) and non-GAAP diluted EPS have some of the same limitations as Adjusted EBITDA. In addition, non-GAAP net income (loss) does not include all items that affect our GAAP net income (loss) and GAAP diluted EPS for the period. Therefore, we think it is important to evaluate these measures along with our unaudited condensed consolidated statements of operations, which are prepared under GAAP.</w:t>
      </w:r>
    </w:p>
    <w:p>
      <w:pPr>
        <w:spacing w:after="0" w:line="193"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9"/>
          <w:szCs w:val="19"/>
          <w:color w:val="auto"/>
        </w:rPr>
        <w:t>TripAdvisor defines “non-GAAP Personnel” expenses as GAAP Personnel expenses before stock-based compensation expense; and “non-GAAP General and Administrative” expenses as GAAP General and Administrative expenses before legal reserves, settlements and other, transaction related expenses; and other non-recurring items. These items are excluded from our non-GAAP operating expenses because the amount is unpredictable, not driven by core operating results and renders comparisons with prior periods and competitors less meaningful.</w:t>
      </w:r>
    </w:p>
    <w:p>
      <w:pPr>
        <w:spacing w:after="0" w:line="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Company believes that excluding these amounts better enables management and investors to compare financial results between periods as these costs may vary independent of business performance.</w:t>
      </w:r>
    </w:p>
    <w:p>
      <w:pPr>
        <w:spacing w:after="0" w:line="19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Tripadvisor defines “free cash flow” as cash provided by (used in) operations less capital expenditures, which are purchases of property and equipment, including the capitalization of website development costs. We believe this financial measure can provide useful supplemental information to help investors better understand underlying cashflow trends in our business, as it represents the operating cash flow that our operating businesses generate, less capital expenditures but before taking into account other cash movements that are not directly tied to the ongoing core operations of our businesses, such as financing activities, foreign currency exchange rate impact on cash, or other investing activities. Free cash flow has certain limitations in that it does not represent the total increase or decrease in the cash balance for the period, nor does it represent the residual cash flow for discretionary expenditures. Therefore, it is important to evaluate free cash flow along with the unaudited condensed consolidated statements of cash flows, which are prepared under GAAP.</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Tripadvisor calculates the estimated effects of foreign currency exchange rates on revenue to determine constant currency revenue growth, by translating actual revenue for the current three months and year ended using the comparable prior period foreign currency exchange rates. We believe this is a useful estimate that facilitates management's internal comparison to our historical performance because the effects of foreign currency exchange rate volatility are not indicative of our ongoing core operating results.</w:t>
      </w:r>
    </w:p>
    <w:p>
      <w:pPr>
        <w:spacing w:after="0" w:line="19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Regulation G, we present reconciliations of these non-GAAP financial measures, described above, to the most directly comparable GAAP measures in the tables below.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and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2026</w:t>
            </w:r>
          </w:p>
        </w:tc>
        <w:tc>
          <w:tcPr>
            <w:tcW w:w="180" w:type="dxa"/>
            <w:vAlign w:val="bottom"/>
          </w:tcPr>
          <w:p>
            <w:pPr>
              <w:spacing w:after="0"/>
              <w:rPr>
                <w:sz w:val="12"/>
                <w:szCs w:val="12"/>
                <w:color w:val="auto"/>
              </w:rPr>
            </w:pPr>
          </w:p>
        </w:tc>
      </w:tr>
      <w:tr>
        <w:trPr>
          <w:trHeight w:val="129"/>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580"/>
              <w:spacing w:after="0" w:line="129" w:lineRule="exact"/>
              <w:rPr>
                <w:sz w:val="20"/>
                <w:szCs w:val="20"/>
                <w:color w:val="auto"/>
              </w:rPr>
            </w:pPr>
            <w:r>
              <w:rPr>
                <w:rFonts w:ascii="Times New Roman" w:cs="Times New Roman" w:eastAsia="Times New Roman" w:hAnsi="Times New Roman"/>
                <w:sz w:val="12"/>
                <w:szCs w:val="12"/>
                <w:b w:val="1"/>
                <w:bCs w:val="1"/>
                <w:color w:val="auto"/>
              </w:rPr>
              <w:t>Q1</w:t>
            </w:r>
          </w:p>
        </w:tc>
        <w:tc>
          <w:tcPr>
            <w:tcW w:w="220" w:type="dxa"/>
            <w:vAlign w:val="bottom"/>
          </w:tcPr>
          <w:p>
            <w:pPr>
              <w:spacing w:after="0"/>
              <w:rPr>
                <w:sz w:val="11"/>
                <w:szCs w:val="11"/>
                <w:color w:val="auto"/>
              </w:rPr>
            </w:pPr>
          </w:p>
        </w:tc>
        <w:tc>
          <w:tcPr>
            <w:tcW w:w="860" w:type="dxa"/>
            <w:vAlign w:val="bottom"/>
            <w:gridSpan w:val="2"/>
          </w:tcPr>
          <w:p>
            <w:pPr>
              <w:jc w:val="right"/>
              <w:ind w:right="560"/>
              <w:spacing w:after="0" w:line="129" w:lineRule="exact"/>
              <w:rPr>
                <w:sz w:val="20"/>
                <w:szCs w:val="20"/>
                <w:color w:val="auto"/>
              </w:rPr>
            </w:pPr>
            <w:r>
              <w:rPr>
                <w:rFonts w:ascii="Times New Roman" w:cs="Times New Roman" w:eastAsia="Times New Roman" w:hAnsi="Times New Roman"/>
                <w:sz w:val="12"/>
                <w:szCs w:val="12"/>
                <w:b w:val="1"/>
                <w:bCs w:val="1"/>
                <w:color w:val="auto"/>
              </w:rPr>
              <w:t>Q2</w:t>
            </w:r>
          </w:p>
        </w:tc>
        <w:tc>
          <w:tcPr>
            <w:tcW w:w="200" w:type="dxa"/>
            <w:vAlign w:val="bottom"/>
          </w:tcPr>
          <w:p>
            <w:pPr>
              <w:spacing w:after="0"/>
              <w:rPr>
                <w:sz w:val="11"/>
                <w:szCs w:val="11"/>
                <w:color w:val="auto"/>
              </w:rPr>
            </w:pPr>
          </w:p>
        </w:tc>
        <w:tc>
          <w:tcPr>
            <w:tcW w:w="900" w:type="dxa"/>
            <w:vAlign w:val="bottom"/>
            <w:gridSpan w:val="2"/>
          </w:tcPr>
          <w:p>
            <w:pPr>
              <w:jc w:val="right"/>
              <w:ind w:right="560"/>
              <w:spacing w:after="0" w:line="129" w:lineRule="exact"/>
              <w:rPr>
                <w:sz w:val="20"/>
                <w:szCs w:val="20"/>
                <w:color w:val="auto"/>
              </w:rPr>
            </w:pPr>
            <w:r>
              <w:rPr>
                <w:rFonts w:ascii="Times New Roman" w:cs="Times New Roman" w:eastAsia="Times New Roman" w:hAnsi="Times New Roman"/>
                <w:sz w:val="12"/>
                <w:szCs w:val="12"/>
                <w:b w:val="1"/>
                <w:bCs w:val="1"/>
                <w:color w:val="auto"/>
              </w:rPr>
              <w:t>Q3</w:t>
            </w:r>
          </w:p>
        </w:tc>
        <w:tc>
          <w:tcPr>
            <w:tcW w:w="220" w:type="dxa"/>
            <w:vAlign w:val="bottom"/>
          </w:tcPr>
          <w:p>
            <w:pPr>
              <w:spacing w:after="0"/>
              <w:rPr>
                <w:sz w:val="11"/>
                <w:szCs w:val="11"/>
                <w:color w:val="auto"/>
              </w:rPr>
            </w:pPr>
          </w:p>
        </w:tc>
        <w:tc>
          <w:tcPr>
            <w:tcW w:w="880" w:type="dxa"/>
            <w:vAlign w:val="bottom"/>
            <w:gridSpan w:val="2"/>
          </w:tcPr>
          <w:p>
            <w:pPr>
              <w:jc w:val="right"/>
              <w:ind w:right="560"/>
              <w:spacing w:after="0" w:line="129" w:lineRule="exact"/>
              <w:rPr>
                <w:sz w:val="20"/>
                <w:szCs w:val="20"/>
                <w:color w:val="auto"/>
              </w:rPr>
            </w:pPr>
            <w:r>
              <w:rPr>
                <w:rFonts w:ascii="Times New Roman" w:cs="Times New Roman" w:eastAsia="Times New Roman" w:hAnsi="Times New Roman"/>
                <w:sz w:val="12"/>
                <w:szCs w:val="12"/>
                <w:b w:val="1"/>
                <w:bCs w:val="1"/>
                <w:color w:val="auto"/>
              </w:rPr>
              <w:t>Q4</w:t>
            </w:r>
          </w:p>
        </w:tc>
        <w:tc>
          <w:tcPr>
            <w:tcW w:w="220" w:type="dxa"/>
            <w:vAlign w:val="bottom"/>
          </w:tcPr>
          <w:p>
            <w:pPr>
              <w:spacing w:after="0"/>
              <w:rPr>
                <w:sz w:val="11"/>
                <w:szCs w:val="11"/>
                <w:color w:val="auto"/>
              </w:rPr>
            </w:pPr>
          </w:p>
        </w:tc>
        <w:tc>
          <w:tcPr>
            <w:tcW w:w="720" w:type="dxa"/>
            <w:vAlign w:val="bottom"/>
          </w:tcPr>
          <w:p>
            <w:pPr>
              <w:jc w:val="right"/>
              <w:ind w:right="302"/>
              <w:spacing w:after="0" w:line="129" w:lineRule="exact"/>
              <w:rPr>
                <w:sz w:val="20"/>
                <w:szCs w:val="20"/>
                <w:color w:val="auto"/>
              </w:rPr>
            </w:pPr>
            <w:r>
              <w:rPr>
                <w:rFonts w:ascii="Times New Roman" w:cs="Times New Roman" w:eastAsia="Times New Roman" w:hAnsi="Times New Roman"/>
                <w:sz w:val="12"/>
                <w:szCs w:val="12"/>
                <w:b w:val="1"/>
                <w:bCs w:val="1"/>
                <w:color w:val="auto"/>
              </w:rPr>
              <w:t>FY*</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ind w:right="162"/>
              <w:spacing w:after="0" w:line="129" w:lineRule="exact"/>
              <w:rPr>
                <w:sz w:val="20"/>
                <w:szCs w:val="20"/>
                <w:color w:val="auto"/>
              </w:rPr>
            </w:pPr>
            <w:r>
              <w:rPr>
                <w:rFonts w:ascii="Times New Roman" w:cs="Times New Roman" w:eastAsia="Times New Roman" w:hAnsi="Times New Roman"/>
                <w:sz w:val="12"/>
                <w:szCs w:val="12"/>
                <w:b w:val="1"/>
                <w:bCs w:val="1"/>
                <w:color w:val="auto"/>
                <w:w w:val="90"/>
              </w:rPr>
              <w:t>Q1</w:t>
            </w:r>
          </w:p>
        </w:tc>
        <w:tc>
          <w:tcPr>
            <w:tcW w:w="180" w:type="dxa"/>
            <w:vAlign w:val="bottom"/>
          </w:tcPr>
          <w:p>
            <w:pPr>
              <w:spacing w:after="0"/>
              <w:rPr>
                <w:sz w:val="11"/>
                <w:szCs w:val="11"/>
                <w:color w:val="auto"/>
              </w:rPr>
            </w:pPr>
          </w:p>
        </w:tc>
      </w:tr>
      <w:tr>
        <w:trPr>
          <w:trHeight w:val="128"/>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Reconciliation from GAAP Net Income (Loss) to Adjusted EBITDA (Non-GAAP):</w:t>
            </w:r>
          </w:p>
        </w:tc>
        <w:tc>
          <w:tcPr>
            <w:tcW w:w="14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Net Income (Loss)</w:t>
            </w:r>
          </w:p>
        </w:tc>
        <w:tc>
          <w:tcPr>
            <w:tcW w:w="3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(11.0)</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36.0</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53.2</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(38.4)</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39.8</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(32.4)</w:t>
            </w: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Provision (benefit) for income taxes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(9.3)</w:t>
            </w: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10.9</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(6.8)</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4.9</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0.8</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Add: Other expense (income), net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6.4</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Restructuring and other related organization costs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0.5</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32.7</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43.4</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Legal reserves, settlements and other </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(4.6)</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Transaction related expenses </w:t>
            </w:r>
            <w:r>
              <w:rPr>
                <w:rFonts w:ascii="Times New Roman" w:cs="Times New Roman" w:eastAsia="Times New Roman" w:hAnsi="Times New Roman"/>
                <w:sz w:val="15"/>
                <w:szCs w:val="15"/>
                <w:color w:val="auto"/>
                <w:vertAlign w:val="superscript"/>
              </w:rPr>
              <w:t>(2)</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Non-recurring expenses (income) </w:t>
            </w:r>
            <w:r>
              <w:rPr>
                <w:rFonts w:ascii="Times New Roman" w:cs="Times New Roman" w:eastAsia="Times New Roman" w:hAnsi="Times New Roman"/>
                <w:sz w:val="15"/>
                <w:szCs w:val="15"/>
                <w:color w:val="auto"/>
                <w:vertAlign w:val="superscript"/>
              </w:rPr>
              <w:t>(3)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(4.8)</w:t>
            </w: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Stock-based compensation expense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27.9</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29.1</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28.5</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22.4</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107.8</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20.7</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Depreciation and amortization </w:t>
            </w:r>
            <w:r>
              <w:rPr>
                <w:rFonts w:ascii="Times New Roman" w:cs="Times New Roman" w:eastAsia="Times New Roman" w:hAnsi="Times New Roman"/>
                <w:sz w:val="15"/>
                <w:szCs w:val="15"/>
                <w:color w:val="auto"/>
                <w:vertAlign w:val="superscript"/>
              </w:rPr>
              <w:t>(4)</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21.3</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22.9</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23.5</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24.7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92.4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24.6</w:t>
            </w:r>
          </w:p>
        </w:tc>
        <w:tc>
          <w:tcPr>
            <w:tcW w:w="180" w:type="dxa"/>
            <w:vAlign w:val="bottom"/>
          </w:tcPr>
          <w:p>
            <w:pPr>
              <w:spacing w:after="0"/>
              <w:rPr>
                <w:sz w:val="11"/>
                <w:szCs w:val="11"/>
                <w:color w:val="auto"/>
              </w:rPr>
            </w:pPr>
          </w:p>
        </w:tc>
      </w:tr>
      <w:tr>
        <w:trPr>
          <w:trHeight w:val="168"/>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Adjusted EBITDA (Non-GAAP)</w:t>
            </w:r>
          </w:p>
        </w:tc>
        <w:tc>
          <w:tcPr>
            <w:tcW w:w="3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43.8</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107.0</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122.5</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45.4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318.7</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22.1</w:t>
            </w:r>
          </w:p>
        </w:tc>
        <w:tc>
          <w:tcPr>
            <w:tcW w:w="180" w:type="dxa"/>
            <w:vAlign w:val="bottom"/>
            <w:shd w:val="clear" w:color="auto" w:fill="CFF0FC"/>
          </w:tcPr>
          <w:p>
            <w:pPr>
              <w:spacing w:after="0"/>
              <w:rPr>
                <w:sz w:val="14"/>
                <w:szCs w:val="14"/>
                <w:color w:val="auto"/>
              </w:rPr>
            </w:pP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Reconciliation from GAAP Net Income (Loss) to Non-GAAP Net Income (Loss):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Net Income (Loss)</w:t>
            </w:r>
          </w:p>
        </w:tc>
        <w:tc>
          <w:tcPr>
            <w:tcW w:w="3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(11.0)</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36.0</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53.2</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(38.4)</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39.8</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(32.4)</w:t>
            </w: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Stock-based compensation expense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27.9</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29.1</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28.5</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22.4</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107.8</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20.7</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Legal reserves, settlements and other </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(4.6)</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Restructuring and other related organization costs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10.1</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0.5</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32.7</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43.4</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Transaction related expenses </w:t>
            </w:r>
            <w:r>
              <w:rPr>
                <w:rFonts w:ascii="Times New Roman" w:cs="Times New Roman" w:eastAsia="Times New Roman" w:hAnsi="Times New Roman"/>
                <w:sz w:val="15"/>
                <w:szCs w:val="15"/>
                <w:color w:val="auto"/>
                <w:vertAlign w:val="superscript"/>
              </w:rPr>
              <w:t>(2)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Non-recurring expenses (income) </w:t>
            </w:r>
            <w:r>
              <w:rPr>
                <w:rFonts w:ascii="Times New Roman" w:cs="Times New Roman" w:eastAsia="Times New Roman" w:hAnsi="Times New Roman"/>
                <w:sz w:val="15"/>
                <w:szCs w:val="15"/>
                <w:color w:val="auto"/>
                <w:vertAlign w:val="superscript"/>
              </w:rPr>
              <w:t>(3)</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(4.8)</w:t>
            </w: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Add: Amortization of intangible assets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0.5</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(Gain)/Loss on investments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(2.6)</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(0.7)</w:t>
            </w: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Subtract: Income tax effect of Non-GAAP adjustments </w:t>
            </w:r>
            <w:r>
              <w:rPr>
                <w:rFonts w:ascii="Times New Roman" w:cs="Times New Roman" w:eastAsia="Times New Roman" w:hAnsi="Times New Roman"/>
                <w:sz w:val="15"/>
                <w:szCs w:val="15"/>
                <w:color w:val="auto"/>
                <w:vertAlign w:val="superscript"/>
              </w:rPr>
              <w:t>(5)</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6.1</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2.0</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11.7</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20.7</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3.2</w:t>
            </w:r>
          </w:p>
        </w:tc>
        <w:tc>
          <w:tcPr>
            <w:tcW w:w="180" w:type="dxa"/>
            <w:vAlign w:val="bottom"/>
          </w:tcPr>
          <w:p>
            <w:pPr>
              <w:spacing w:after="0"/>
              <w:rPr>
                <w:sz w:val="11"/>
                <w:szCs w:val="11"/>
                <w:color w:val="auto"/>
              </w:rPr>
            </w:pPr>
          </w:p>
        </w:tc>
      </w:tr>
      <w:tr>
        <w:trPr>
          <w:trHeight w:val="129"/>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Non-GAAP Net Income (Loss)</w:t>
            </w:r>
          </w:p>
        </w:tc>
        <w:tc>
          <w:tcPr>
            <w:tcW w:w="3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20.9</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60.1</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79.8</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5.1</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166.1</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(13.1)</w:t>
            </w: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Interest expense on 2026 Senior Notes, net of tax </w:t>
            </w:r>
            <w:r>
              <w:rPr>
                <w:rFonts w:ascii="Times New Roman" w:cs="Times New Roman" w:eastAsia="Times New Roman" w:hAnsi="Times New Roman"/>
                <w:sz w:val="15"/>
                <w:szCs w:val="15"/>
                <w:color w:val="auto"/>
                <w:vertAlign w:val="superscript"/>
              </w:rPr>
              <w:t>(6)</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0.3</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0.3</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r>
      <w:tr>
        <w:trPr>
          <w:trHeight w:val="168"/>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Numerator used to compute Non-GAAP net income (loss) per diluted share</w:t>
            </w:r>
          </w:p>
        </w:tc>
        <w:tc>
          <w:tcPr>
            <w:tcW w:w="36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21.2</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60.4</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80.1</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5.4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167.2</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(13.1)</w:t>
            </w: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Reconciliation from GAAP Earnings per Share (EPS) to Non-GAAP EPS</w:t>
            </w:r>
            <w:r>
              <w:rPr>
                <w:rFonts w:ascii="Times New Roman" w:cs="Times New Roman" w:eastAsia="Times New Roman" w:hAnsi="Times New Roman"/>
                <w:sz w:val="12"/>
                <w:szCs w:val="12"/>
                <w:b w:val="1"/>
                <w:bCs w:val="1"/>
                <w:i w:val="1"/>
                <w:iCs w:val="1"/>
                <w:color w:val="auto"/>
              </w:rPr>
              <w:t>:</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Diluted Shares Outstanding</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141.0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130.2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123.7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115.7</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131.0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115.4</w:t>
            </w:r>
          </w:p>
        </w:tc>
        <w:tc>
          <w:tcPr>
            <w:tcW w:w="180" w:type="dxa"/>
            <w:vAlign w:val="bottom"/>
          </w:tcPr>
          <w:p>
            <w:pPr>
              <w:spacing w:after="0"/>
              <w:rPr>
                <w:sz w:val="11"/>
                <w:szCs w:val="11"/>
                <w:color w:val="auto"/>
              </w:rPr>
            </w:pPr>
          </w:p>
        </w:tc>
      </w:tr>
      <w:tr>
        <w:trPr>
          <w:trHeight w:val="135"/>
        </w:trPr>
        <w:tc>
          <w:tcPr>
            <w:tcW w:w="450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Potential dilutive effect of common equivalent shares</w:t>
            </w:r>
          </w:p>
        </w:tc>
        <w:tc>
          <w:tcPr>
            <w:tcW w:w="1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6.1</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7.1</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1"/>
                <w:szCs w:val="11"/>
                <w:color w:val="auto"/>
              </w:rPr>
            </w:pPr>
          </w:p>
        </w:tc>
      </w:tr>
      <w:tr>
        <w:trPr>
          <w:trHeight w:val="128"/>
        </w:trPr>
        <w:tc>
          <w:tcPr>
            <w:tcW w:w="4500" w:type="dxa"/>
            <w:vAlign w:val="bottom"/>
          </w:tcPr>
          <w:p>
            <w:pPr>
              <w:spacing w:after="0" w:line="129" w:lineRule="exact"/>
              <w:rPr>
                <w:sz w:val="20"/>
                <w:szCs w:val="20"/>
                <w:color w:val="auto"/>
              </w:rPr>
            </w:pPr>
            <w:r>
              <w:rPr>
                <w:rFonts w:ascii="Times New Roman" w:cs="Times New Roman" w:eastAsia="Times New Roman" w:hAnsi="Times New Roman"/>
                <w:sz w:val="11"/>
                <w:szCs w:val="11"/>
                <w:color w:val="auto"/>
              </w:rPr>
              <w:t xml:space="preserve">Non-GAAP Diluted Shares Outstanding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147.1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130.2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123.7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122.8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131.0</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115.4</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Diluted Earnings (Loss) per Share</w:t>
            </w:r>
          </w:p>
        </w:tc>
        <w:tc>
          <w:tcPr>
            <w:tcW w:w="3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(0.08)</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0.28</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0.43</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(0.33)</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0.31</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(0.28)</w:t>
            </w: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Stock-based compensation expense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0.18</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0.22</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0.23</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0.18</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0.82</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0.18</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Legal reserves, settlements and other </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(0.03)</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(0.03)</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Restructuring and other related organization costs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0.07</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0.27</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0.33</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0.03</w:t>
            </w: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Transaction related expenses </w:t>
            </w:r>
            <w:r>
              <w:rPr>
                <w:rFonts w:ascii="Times New Roman" w:cs="Times New Roman" w:eastAsia="Times New Roman" w:hAnsi="Times New Roman"/>
                <w:sz w:val="15"/>
                <w:szCs w:val="15"/>
                <w:color w:val="auto"/>
                <w:vertAlign w:val="superscript"/>
              </w:rPr>
              <w:t>(2)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0.03</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Non-recurring expenses (income) </w:t>
            </w:r>
            <w:r>
              <w:rPr>
                <w:rFonts w:ascii="Times New Roman" w:cs="Times New Roman" w:eastAsia="Times New Roman" w:hAnsi="Times New Roman"/>
                <w:sz w:val="15"/>
                <w:szCs w:val="15"/>
                <w:color w:val="auto"/>
                <w:vertAlign w:val="superscript"/>
              </w:rPr>
              <w:t>(3)</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(0.04)</w:t>
            </w: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Add: Amortization of intangible assets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Add: (Gain)/Loss on investments</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(0.02)</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(0.01)</w:t>
            </w:r>
          </w:p>
        </w:tc>
      </w:tr>
      <w:tr>
        <w:trPr>
          <w:trHeight w:val="135"/>
        </w:trPr>
        <w:tc>
          <w:tcPr>
            <w:tcW w:w="450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Add: Adjustment to GAAP diluted shares outstanding </w:t>
            </w:r>
            <w:r>
              <w:rPr>
                <w:rFonts w:ascii="Times New Roman" w:cs="Times New Roman" w:eastAsia="Times New Roman" w:hAnsi="Times New Roman"/>
                <w:sz w:val="15"/>
                <w:szCs w:val="15"/>
                <w:color w:val="auto"/>
                <w:vertAlign w:val="superscript"/>
              </w:rPr>
              <w:t>(7)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0.02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r>
      <w:tr>
        <w:trPr>
          <w:trHeight w:val="135"/>
        </w:trPr>
        <w:tc>
          <w:tcPr>
            <w:tcW w:w="450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 xml:space="preserve">Subtract: Income tax effect of Non-GAAP adjustments </w:t>
            </w:r>
            <w:r>
              <w:rPr>
                <w:rFonts w:ascii="Times New Roman" w:cs="Times New Roman" w:eastAsia="Times New Roman" w:hAnsi="Times New Roman"/>
                <w:sz w:val="15"/>
                <w:szCs w:val="15"/>
                <w:color w:val="auto"/>
                <w:vertAlign w:val="superscript"/>
              </w:rPr>
              <w:t>(5)</w:t>
            </w:r>
          </w:p>
        </w:tc>
        <w:tc>
          <w:tcPr>
            <w:tcW w:w="1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0.04</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0.01</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0.10</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0.16</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0.03</w:t>
            </w:r>
          </w:p>
        </w:tc>
        <w:tc>
          <w:tcPr>
            <w:tcW w:w="180" w:type="dxa"/>
            <w:vAlign w:val="bottom"/>
            <w:tcBorders>
              <w:bottom w:val="single" w:sz="8" w:color="CFF0FC"/>
            </w:tcBorders>
            <w:shd w:val="clear" w:color="auto" w:fill="CFF0FC"/>
          </w:tcPr>
          <w:p>
            <w:pPr>
              <w:spacing w:after="0"/>
              <w:rPr>
                <w:sz w:val="11"/>
                <w:szCs w:val="11"/>
                <w:color w:val="auto"/>
              </w:rPr>
            </w:pPr>
          </w:p>
        </w:tc>
      </w:tr>
      <w:tr>
        <w:trPr>
          <w:trHeight w:val="128"/>
        </w:trPr>
        <w:tc>
          <w:tcPr>
            <w:tcW w:w="45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Non-GAAP Diluted Earnings (Loss) per Share</w:t>
            </w:r>
          </w:p>
        </w:tc>
        <w:tc>
          <w:tcPr>
            <w:tcW w:w="3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0.14</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0.46</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0.65</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0.04</w:t>
            </w:r>
          </w:p>
        </w:tc>
        <w:tc>
          <w:tcPr>
            <w:tcW w:w="16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1.27</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color w:val="auto"/>
              </w:rPr>
              <w:t>(0.11)</w:t>
            </w:r>
          </w:p>
        </w:tc>
      </w:tr>
      <w:tr>
        <w:trPr>
          <w:trHeight w:val="135"/>
        </w:trPr>
        <w:tc>
          <w:tcPr>
            <w:tcW w:w="4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Foreign Exchange Reconciliation: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Total Revenue Growth</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7%</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4%</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0%</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3%</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(4)%</w:t>
            </w:r>
          </w:p>
        </w:tc>
      </w:tr>
      <w:tr>
        <w:trPr>
          <w:trHeight w:val="135"/>
        </w:trPr>
        <w:tc>
          <w:tcPr>
            <w:tcW w:w="45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Estimated effects of changes in foreign currency exchange rates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8"/>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Non-GAAP Total Revenue growth on a constant currency basis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5%</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(8)%</w:t>
            </w: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Total Experiences Segment Revenue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11%</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9%</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10%</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8%</w:t>
            </w:r>
          </w:p>
        </w:tc>
      </w:tr>
      <w:tr>
        <w:trPr>
          <w:trHeight w:val="135"/>
        </w:trPr>
        <w:tc>
          <w:tcPr>
            <w:tcW w:w="45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Estimated effects of changes in foreign currency exchange rates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Non-GAAP Total Experiences segment revenue growth on a constant currency basis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9%</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6%</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8%</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4%</w:t>
            </w: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Total Hotels and Other Segment Revenue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(8)%</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(3)%</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(8)%</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(15)%</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(8)%</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2"/>
                <w:szCs w:val="12"/>
                <w:b w:val="1"/>
                <w:bCs w:val="1"/>
                <w:color w:val="auto"/>
              </w:rPr>
              <w:t>(20)%</w:t>
            </w:r>
          </w:p>
        </w:tc>
      </w:tr>
      <w:tr>
        <w:trPr>
          <w:trHeight w:val="135"/>
        </w:trPr>
        <w:tc>
          <w:tcPr>
            <w:tcW w:w="45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Estimated effects of changes in foreign currency exchange rates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8"/>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Non-GAAP Total Hotels and Other segment revenue growth on a constant currency basis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(9)%</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2"/>
                <w:szCs w:val="12"/>
                <w:color w:val="auto"/>
              </w:rPr>
              <w:t>(22)%</w:t>
            </w: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35"/>
        </w:trPr>
        <w:tc>
          <w:tcPr>
            <w:tcW w:w="4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GAAP Total TheFork Segment Revenue</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12%</w:t>
            </w:r>
          </w:p>
        </w:tc>
        <w:tc>
          <w:tcPr>
            <w:tcW w:w="2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28%</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28%</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18%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22%</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23%</w:t>
            </w:r>
          </w:p>
        </w:tc>
      </w:tr>
      <w:tr>
        <w:trPr>
          <w:trHeight w:val="135"/>
        </w:trPr>
        <w:tc>
          <w:tcPr>
            <w:tcW w:w="450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Estimated effects of changes in foreign currency exchange rates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6%</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5%</w:t>
            </w: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12%</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4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Non-GAAP Total TheFork segment revenue growth on a constant currency basis</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22%</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20%</w:t>
            </w: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11%</w:t>
            </w:r>
          </w:p>
        </w:tc>
      </w:tr>
      <w:tr>
        <w:trPr>
          <w:trHeight w:val="115"/>
        </w:trPr>
        <w:tc>
          <w:tcPr>
            <w:tcW w:w="45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r>
      <w:tr>
        <w:trPr>
          <w:trHeight w:val="125"/>
        </w:trPr>
        <w:tc>
          <w:tcPr>
            <w:tcW w:w="450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Reconciliation of GAAP Cash Flow from Operating Activities to Non-GAAP Free Cash</w:t>
            </w: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r>
      <w:tr>
        <w:trPr>
          <w:trHeight w:val="145"/>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Flow:</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35"/>
        </w:trPr>
        <w:tc>
          <w:tcPr>
            <w:tcW w:w="4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Cash flow provided by (used in) operations</w:t>
            </w:r>
          </w:p>
        </w:tc>
        <w:tc>
          <w:tcPr>
            <w:tcW w:w="3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101.7</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201.6</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44.5</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(103.0)</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244.8</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117.8</w:t>
            </w:r>
          </w:p>
        </w:tc>
        <w:tc>
          <w:tcPr>
            <w:tcW w:w="180" w:type="dxa"/>
            <w:vAlign w:val="bottom"/>
          </w:tcPr>
          <w:p>
            <w:pPr>
              <w:spacing w:after="0"/>
              <w:rPr>
                <w:sz w:val="11"/>
                <w:szCs w:val="11"/>
                <w:color w:val="auto"/>
              </w:rPr>
            </w:pPr>
          </w:p>
        </w:tc>
      </w:tr>
      <w:tr>
        <w:trPr>
          <w:trHeight w:val="135"/>
        </w:trPr>
        <w:tc>
          <w:tcPr>
            <w:tcW w:w="4500" w:type="dxa"/>
            <w:vAlign w:val="bottom"/>
            <w:tcBorders>
              <w:bottom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color w:val="auto"/>
              </w:rPr>
              <w:t>Subtract: Capital expenditures</w:t>
            </w:r>
          </w:p>
        </w:tc>
        <w:tc>
          <w:tcPr>
            <w:tcW w:w="1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19.0</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25.0</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19.3</w:t>
            </w:r>
          </w:p>
        </w:tc>
        <w:tc>
          <w:tcPr>
            <w:tcW w:w="18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18.8</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81.9</w:t>
            </w: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16.5</w:t>
            </w:r>
          </w:p>
        </w:tc>
        <w:tc>
          <w:tcPr>
            <w:tcW w:w="180" w:type="dxa"/>
            <w:vAlign w:val="bottom"/>
            <w:tcBorders>
              <w:bottom w:val="single" w:sz="8" w:color="CFF0FC"/>
            </w:tcBorders>
            <w:shd w:val="clear" w:color="auto" w:fill="CFF0FC"/>
          </w:tcPr>
          <w:p>
            <w:pPr>
              <w:spacing w:after="0"/>
              <w:rPr>
                <w:sz w:val="11"/>
                <w:szCs w:val="11"/>
                <w:color w:val="auto"/>
              </w:rPr>
            </w:pPr>
          </w:p>
        </w:tc>
      </w:tr>
      <w:tr>
        <w:trPr>
          <w:trHeight w:val="128"/>
        </w:trPr>
        <w:tc>
          <w:tcPr>
            <w:tcW w:w="450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Free Cash Flow (Non-GAAP)</w:t>
            </w:r>
          </w:p>
        </w:tc>
        <w:tc>
          <w:tcPr>
            <w:tcW w:w="3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82.7</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176.6</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25.2</w:t>
            </w:r>
          </w:p>
        </w:tc>
        <w:tc>
          <w:tcPr>
            <w:tcW w:w="180" w:type="dxa"/>
            <w:vAlign w:val="bottom"/>
          </w:tcPr>
          <w:p>
            <w:pPr>
              <w:spacing w:after="0"/>
              <w:rPr>
                <w:sz w:val="11"/>
                <w:szCs w:val="11"/>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(121.8)</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162.9</w:t>
            </w:r>
          </w:p>
        </w:tc>
        <w:tc>
          <w:tcPr>
            <w:tcW w:w="180" w:type="dxa"/>
            <w:vAlign w:val="bottom"/>
          </w:tcPr>
          <w:p>
            <w:pPr>
              <w:spacing w:after="0"/>
              <w:rPr>
                <w:sz w:val="11"/>
                <w:szCs w:val="11"/>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101.3</w:t>
            </w:r>
          </w:p>
        </w:tc>
        <w:tc>
          <w:tcPr>
            <w:tcW w:w="180" w:type="dxa"/>
            <w:vAlign w:val="bottom"/>
          </w:tcPr>
          <w:p>
            <w:pPr>
              <w:spacing w:after="0"/>
              <w:rPr>
                <w:sz w:val="11"/>
                <w:szCs w:val="1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-4885690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-4868545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-4885690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-4868545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-4885690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-4868545</wp:posOffset>
            </wp:positionV>
            <wp:extent cx="111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-4885690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-4868545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-4885690</wp:posOffset>
            </wp:positionV>
            <wp:extent cx="1117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-4868545</wp:posOffset>
            </wp:positionV>
            <wp:extent cx="1117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-4885690</wp:posOffset>
            </wp:positionV>
            <wp:extent cx="1117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-4868545</wp:posOffset>
            </wp:positionV>
            <wp:extent cx="111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-3642360</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-3625215</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-3642360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-3625215</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-3642360</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-3625215</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-3642360</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-3625215</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-3642360</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-3625215</wp:posOffset>
            </wp:positionV>
            <wp:extent cx="111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-3642360</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-3625215</wp:posOffset>
            </wp:positionV>
            <wp:extent cx="1117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-3274060</wp:posOffset>
            </wp:positionV>
            <wp:extent cx="111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-3274060</wp:posOffset>
            </wp:positionV>
            <wp:extent cx="111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-3274060</wp:posOffset>
            </wp:positionV>
            <wp:extent cx="111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-3274060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-3274060</wp:posOffset>
            </wp:positionV>
            <wp:extent cx="1117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-3274060</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-2236470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-2236470</wp:posOffset>
            </wp:positionV>
            <wp:extent cx="111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-2236470</wp:posOffset>
            </wp:positionV>
            <wp:extent cx="111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-2236470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-2236470</wp:posOffset>
            </wp:positionV>
            <wp:extent cx="1117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-2236470</wp:posOffset>
            </wp:positionV>
            <wp:extent cx="1117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-1704975</wp:posOffset>
            </wp:positionV>
            <wp:extent cx="111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-1687830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-1704975</wp:posOffset>
            </wp:positionV>
            <wp:extent cx="111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-1687830</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-1704975</wp:posOffset>
            </wp:positionV>
            <wp:extent cx="111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-1687830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-1704975</wp:posOffset>
            </wp:positionV>
            <wp:extent cx="111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-1687830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-1704975</wp:posOffset>
            </wp:positionV>
            <wp:extent cx="1117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-1687830</wp:posOffset>
            </wp:positionV>
            <wp:extent cx="1117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-1704975</wp:posOffset>
            </wp:positionV>
            <wp:extent cx="1117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-1687830</wp:posOffset>
            </wp:positionV>
            <wp:extent cx="1117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-1327785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-1310640</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-1327785</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-1310640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-1327785</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-1310640</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-1327785</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-1310640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-1327785</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-1310640</wp:posOffset>
            </wp:positionV>
            <wp:extent cx="111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-1327785</wp:posOffset>
            </wp:positionV>
            <wp:extent cx="111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-1310640</wp:posOffset>
            </wp:positionV>
            <wp:extent cx="111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-950595</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-933450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-950595</wp:posOffset>
            </wp:positionV>
            <wp:extent cx="111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-950595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-933450</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-950595</wp:posOffset>
            </wp:positionV>
            <wp:extent cx="1111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-933450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-950595</wp:posOffset>
            </wp:positionV>
            <wp:extent cx="1117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-933450</wp:posOffset>
            </wp:positionV>
            <wp:extent cx="111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-950595</wp:posOffset>
            </wp:positionV>
            <wp:extent cx="1117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-573405</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-556260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-573405</wp:posOffset>
            </wp:positionV>
            <wp:extent cx="1111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-556260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-573405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-556260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-573405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-556260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-573405</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-556260</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-573405</wp:posOffset>
            </wp:positionV>
            <wp:extent cx="1117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-556260</wp:posOffset>
            </wp:positionV>
            <wp:extent cx="1117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-119380</wp:posOffset>
            </wp:positionV>
            <wp:extent cx="1111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-119380</wp:posOffset>
            </wp:positionV>
            <wp:extent cx="111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-119380</wp:posOffset>
            </wp:positionV>
            <wp:extent cx="1111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-119380</wp:posOffset>
            </wp:positionV>
            <wp:extent cx="1111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-119380</wp:posOffset>
            </wp:positionV>
            <wp:extent cx="1117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-119380</wp:posOffset>
            </wp:positionV>
            <wp:extent cx="1117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r>
      <w:tr>
        <w:trPr>
          <w:trHeight w:val="142"/>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FY*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tcPr>
          <w:p>
            <w:pPr>
              <w:spacing w:after="0"/>
              <w:rPr>
                <w:sz w:val="12"/>
                <w:szCs w:val="12"/>
                <w:color w:val="auto"/>
              </w:rPr>
            </w:pPr>
          </w:p>
        </w:tc>
      </w:tr>
      <w:tr>
        <w:trPr>
          <w:trHeight w:val="142"/>
        </w:trPr>
        <w:tc>
          <w:tcPr>
            <w:tcW w:w="2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Segments - Revenue:</w:t>
            </w:r>
          </w:p>
        </w:tc>
        <w:tc>
          <w:tcPr>
            <w:tcW w:w="40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10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398.2</w:t>
            </w:r>
          </w:p>
        </w:tc>
        <w:tc>
          <w:tcPr>
            <w:tcW w:w="24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529.2</w:t>
            </w:r>
          </w:p>
        </w:tc>
        <w:tc>
          <w:tcPr>
            <w:tcW w:w="240" w:type="dxa"/>
            <w:vAlign w:val="bottom"/>
          </w:tcPr>
          <w:p>
            <w:pPr>
              <w:spacing w:after="0"/>
              <w:rPr>
                <w:sz w:val="12"/>
                <w:szCs w:val="12"/>
                <w:color w:val="auto"/>
              </w:rPr>
            </w:pPr>
          </w:p>
        </w:tc>
        <w:tc>
          <w:tcPr>
            <w:tcW w:w="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552.5</w:t>
            </w:r>
          </w:p>
        </w:tc>
        <w:tc>
          <w:tcPr>
            <w:tcW w:w="22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411.3</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1,891.3</w:t>
            </w:r>
          </w:p>
        </w:tc>
        <w:tc>
          <w:tcPr>
            <w:tcW w:w="28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382.4</w:t>
            </w:r>
          </w:p>
        </w:tc>
        <w:tc>
          <w:tcPr>
            <w:tcW w:w="180" w:type="dxa"/>
            <w:vAlign w:val="bottom"/>
          </w:tcPr>
          <w:p>
            <w:pPr>
              <w:spacing w:after="0"/>
              <w:rPr>
                <w:sz w:val="12"/>
                <w:szCs w:val="12"/>
                <w:color w:val="auto"/>
              </w:rPr>
            </w:pP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1%</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7%</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4%</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3%</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(4)%</w:t>
            </w: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Experiences</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294.3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924.4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167.9</w:t>
            </w:r>
          </w:p>
        </w:tc>
        <w:tc>
          <w:tcPr>
            <w:tcW w:w="180" w:type="dxa"/>
            <w:vAlign w:val="bottom"/>
          </w:tcPr>
          <w:p>
            <w:pPr>
              <w:spacing w:after="0"/>
              <w:rPr>
                <w:sz w:val="12"/>
                <w:szCs w:val="12"/>
                <w:color w:val="auto"/>
              </w:rPr>
            </w:pP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10%</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11%</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9%</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10%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10%</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8%</w:t>
            </w: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Hotels and Other</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750.1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157.9</w:t>
            </w:r>
          </w:p>
        </w:tc>
        <w:tc>
          <w:tcPr>
            <w:tcW w:w="180" w:type="dxa"/>
            <w:vAlign w:val="bottom"/>
          </w:tcPr>
          <w:p>
            <w:pPr>
              <w:spacing w:after="0"/>
              <w:rPr>
                <w:sz w:val="12"/>
                <w:szCs w:val="12"/>
                <w:color w:val="auto"/>
              </w:rPr>
            </w:pPr>
          </w:p>
        </w:tc>
      </w:tr>
      <w:tr>
        <w:trPr>
          <w:trHeight w:val="149"/>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(8)%</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(3)%</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(8)%</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(8)%</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(20)%</w:t>
            </w:r>
          </w:p>
        </w:tc>
      </w:tr>
      <w:tr>
        <w:trPr>
          <w:trHeight w:val="148"/>
        </w:trPr>
        <w:tc>
          <w:tcPr>
            <w:tcW w:w="2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80" w:type="dxa"/>
            <w:vAlign w:val="bottom"/>
          </w:tcPr>
          <w:p>
            <w:pPr>
              <w:spacing w:after="0"/>
              <w:rPr>
                <w:sz w:val="12"/>
                <w:szCs w:val="12"/>
                <w:color w:val="auto"/>
              </w:rPr>
            </w:pPr>
          </w:p>
        </w:tc>
      </w:tr>
      <w:tr>
        <w:trPr>
          <w:trHeight w:val="148"/>
        </w:trPr>
        <w:tc>
          <w:tcPr>
            <w:tcW w:w="2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(7)%</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1%</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(5)%</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(6)%</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(23)%</w:t>
            </w:r>
          </w:p>
        </w:tc>
      </w:tr>
      <w:tr>
        <w:trPr>
          <w:trHeight w:val="124"/>
        </w:trPr>
        <w:tc>
          <w:tcPr>
            <w:tcW w:w="2460" w:type="dxa"/>
            <w:vAlign w:val="bottom"/>
          </w:tcPr>
          <w:p>
            <w:pPr>
              <w:ind w:left="120"/>
              <w:spacing w:after="0" w:line="124" w:lineRule="exact"/>
              <w:rPr>
                <w:sz w:val="20"/>
                <w:szCs w:val="20"/>
                <w:color w:val="auto"/>
              </w:rPr>
            </w:pPr>
            <w:r>
              <w:rPr>
                <w:rFonts w:ascii="Times New Roman" w:cs="Times New Roman" w:eastAsia="Times New Roman" w:hAnsi="Times New Roman"/>
                <w:sz w:val="14"/>
                <w:szCs w:val="14"/>
                <w:color w:val="auto"/>
              </w:rPr>
              <w:t>Media and advertising</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30.8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35.5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29.8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132.0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28.0</w:t>
            </w:r>
          </w:p>
        </w:tc>
        <w:tc>
          <w:tcPr>
            <w:tcW w:w="180" w:type="dxa"/>
            <w:vAlign w:val="bottom"/>
          </w:tcPr>
          <w:p>
            <w:pPr>
              <w:spacing w:after="0"/>
              <w:rPr>
                <w:sz w:val="10"/>
                <w:szCs w:val="10"/>
                <w:color w:val="auto"/>
              </w:rPr>
            </w:pPr>
          </w:p>
        </w:tc>
      </w:tr>
      <w:tr>
        <w:trPr>
          <w:trHeight w:val="146"/>
        </w:trPr>
        <w:tc>
          <w:tcPr>
            <w:tcW w:w="2460" w:type="dxa"/>
            <w:vAlign w:val="bottom"/>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(13)%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(11)%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i w:val="1"/>
                <w:iCs w:val="1"/>
                <w:color w:val="auto"/>
              </w:rPr>
              <w:t>(12)%</w:t>
            </w:r>
          </w:p>
        </w:tc>
        <w:tc>
          <w:tcPr>
            <w:tcW w:w="260" w:type="dxa"/>
            <w:vAlign w:val="bottom"/>
          </w:tcPr>
          <w:p>
            <w:pPr>
              <w:spacing w:after="0"/>
              <w:rPr>
                <w:sz w:val="12"/>
                <w:szCs w:val="12"/>
                <w:color w:val="auto"/>
              </w:rPr>
            </w:pPr>
          </w:p>
        </w:tc>
        <w:tc>
          <w:tcPr>
            <w:tcW w:w="110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i w:val="1"/>
                <w:iCs w:val="1"/>
                <w:color w:val="auto"/>
              </w:rPr>
              <w:t>(9)%</w:t>
            </w:r>
          </w:p>
        </w:tc>
      </w:tr>
      <w:tr>
        <w:trPr>
          <w:trHeight w:val="175"/>
        </w:trPr>
        <w:tc>
          <w:tcPr>
            <w:tcW w:w="2460" w:type="dxa"/>
            <w:vAlign w:val="bottom"/>
          </w:tcPr>
          <w:p>
            <w:pPr>
              <w:ind w:left="80"/>
              <w:spacing w:after="0" w:line="175"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(8)</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tcPr>
          <w:p>
            <w:pPr>
              <w:spacing w:after="0"/>
              <w:rPr>
                <w:sz w:val="15"/>
                <w:szCs w:val="15"/>
                <w:color w:val="auto"/>
              </w:rPr>
            </w:pPr>
          </w:p>
        </w:tc>
      </w:tr>
      <w:tr>
        <w:trPr>
          <w:trHeight w:val="149"/>
        </w:trPr>
        <w:tc>
          <w:tcPr>
            <w:tcW w:w="2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(20)%</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(15)%</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(24)%</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(19)%</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i w:val="1"/>
                <w:iCs w:val="1"/>
                <w:color w:val="auto"/>
              </w:rPr>
              <w:t>(13)%</w:t>
            </w:r>
          </w:p>
        </w:tc>
      </w:tr>
      <w:tr>
        <w:trPr>
          <w:trHeight w:val="124"/>
        </w:trPr>
        <w:tc>
          <w:tcPr>
            <w:tcW w:w="24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TheFork</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46.4</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54.2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62.9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57.2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220.8</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57.3</w:t>
            </w:r>
          </w:p>
        </w:tc>
        <w:tc>
          <w:tcPr>
            <w:tcW w:w="180" w:type="dxa"/>
            <w:vAlign w:val="bottom"/>
          </w:tcPr>
          <w:p>
            <w:pPr>
              <w:spacing w:after="0"/>
              <w:rPr>
                <w:sz w:val="10"/>
                <w:szCs w:val="10"/>
                <w:color w:val="auto"/>
              </w:rPr>
            </w:pPr>
          </w:p>
        </w:tc>
      </w:tr>
      <w:tr>
        <w:trPr>
          <w:trHeight w:val="146"/>
        </w:trPr>
        <w:tc>
          <w:tcPr>
            <w:tcW w:w="2460" w:type="dxa"/>
            <w:vAlign w:val="bottom"/>
          </w:tcPr>
          <w:p>
            <w:pPr>
              <w:spacing w:after="0" w:line="146"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i w:val="1"/>
                <w:iCs w:val="1"/>
                <w:color w:val="auto"/>
              </w:rPr>
              <w:t>12%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i w:val="1"/>
                <w:iCs w:val="1"/>
                <w:color w:val="auto"/>
              </w:rPr>
              <w:t>28%</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i w:val="1"/>
                <w:iCs w:val="1"/>
                <w:color w:val="auto"/>
              </w:rPr>
              <w:t>28%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i w:val="1"/>
                <w:iCs w:val="1"/>
                <w:color w:val="auto"/>
              </w:rPr>
              <w:t>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i w:val="1"/>
                <w:iCs w:val="1"/>
                <w:color w:val="auto"/>
              </w:rPr>
              <w:t>22%</w:t>
            </w:r>
          </w:p>
        </w:tc>
        <w:tc>
          <w:tcPr>
            <w:tcW w:w="260" w:type="dxa"/>
            <w:vAlign w:val="bottom"/>
          </w:tcPr>
          <w:p>
            <w:pPr>
              <w:spacing w:after="0"/>
              <w:rPr>
                <w:sz w:val="12"/>
                <w:szCs w:val="12"/>
                <w:color w:val="auto"/>
              </w:rPr>
            </w:pPr>
          </w:p>
        </w:tc>
        <w:tc>
          <w:tcPr>
            <w:tcW w:w="11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23%</w:t>
            </w:r>
          </w:p>
        </w:tc>
      </w:tr>
      <w:tr>
        <w:trPr>
          <w:trHeight w:val="175"/>
        </w:trPr>
        <w:tc>
          <w:tcPr>
            <w:tcW w:w="2460" w:type="dxa"/>
            <w:vAlign w:val="bottom"/>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Intersegment revenue </w:t>
            </w:r>
            <w:r>
              <w:rPr>
                <w:rFonts w:ascii="Times New Roman" w:cs="Times New Roman" w:eastAsia="Times New Roman" w:hAnsi="Times New Roman"/>
                <w:sz w:val="19"/>
                <w:szCs w:val="19"/>
                <w:color w:val="auto"/>
                <w:vertAlign w:val="superscript"/>
              </w:rPr>
              <w:t>(8)</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(0.7)</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(4.0)</w:t>
            </w:r>
          </w:p>
        </w:tc>
        <w:tc>
          <w:tcPr>
            <w:tcW w:w="2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(0.7)</w:t>
            </w: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(30)%</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(17)%</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(14)%</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(9)%</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0%</w:t>
            </w:r>
          </w:p>
        </w:tc>
      </w:tr>
      <w:tr>
        <w:trPr>
          <w:trHeight w:val="149"/>
        </w:trPr>
        <w:tc>
          <w:tcPr>
            <w:tcW w:w="2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Percent of Total Revenue:**</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8"/>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Experiences</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39%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51%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53%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49%</w:t>
            </w:r>
          </w:p>
        </w:tc>
        <w:tc>
          <w:tcPr>
            <w:tcW w:w="26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44%</w:t>
            </w: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37%</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29%</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26%</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26%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29%</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30%</w:t>
            </w: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Media and advertising</w:t>
            </w: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i w:val="1"/>
                <w:iCs w:val="1"/>
                <w:color w:val="auto"/>
              </w:rPr>
              <w:t>8%</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4"/>
                <w:szCs w:val="14"/>
                <w:i w:val="1"/>
                <w:iCs w:val="1"/>
                <w:color w:val="auto"/>
              </w:rPr>
              <w:t>7%</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4"/>
                <w:szCs w:val="14"/>
                <w:i w:val="1"/>
                <w:iCs w:val="1"/>
                <w:color w:val="auto"/>
              </w:rPr>
              <w:t>7%</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4"/>
                <w:szCs w:val="14"/>
                <w:i w:val="1"/>
                <w:iCs w:val="1"/>
                <w:color w:val="auto"/>
              </w:rPr>
              <w:t>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i w:val="1"/>
                <w:iCs w:val="1"/>
                <w:color w:val="auto"/>
              </w:rPr>
              <w:t>7%</w:t>
            </w:r>
          </w:p>
        </w:tc>
        <w:tc>
          <w:tcPr>
            <w:tcW w:w="260" w:type="dxa"/>
            <w:vAlign w:val="bottom"/>
          </w:tcPr>
          <w:p>
            <w:pPr>
              <w:spacing w:after="0"/>
              <w:rPr>
                <w:sz w:val="10"/>
                <w:szCs w:val="10"/>
                <w:color w:val="auto"/>
              </w:rPr>
            </w:pPr>
          </w:p>
        </w:tc>
        <w:tc>
          <w:tcPr>
            <w:tcW w:w="11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i w:val="1"/>
                <w:iCs w:val="1"/>
                <w:color w:val="auto"/>
              </w:rPr>
              <w:t>7%</w:t>
            </w:r>
          </w:p>
        </w:tc>
      </w:tr>
      <w:tr>
        <w:trPr>
          <w:trHeight w:val="151"/>
        </w:trPr>
        <w:tc>
          <w:tcPr>
            <w:tcW w:w="2460" w:type="dxa"/>
            <w:vAlign w:val="bottom"/>
          </w:tcPr>
          <w:p>
            <w:pPr>
              <w:spacing w:after="0" w:line="151"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17"/>
                <w:szCs w:val="17"/>
                <w:color w:val="auto"/>
                <w:vertAlign w:val="superscript"/>
              </w:rPr>
              <w:t>(8)</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i w:val="1"/>
                <w:iCs w:val="1"/>
                <w:color w:val="auto"/>
              </w:rPr>
              <w:t>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i w:val="1"/>
                <w:iCs w:val="1"/>
                <w:color w:val="auto"/>
              </w:rPr>
              <w:t>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i w:val="1"/>
                <w:iCs w:val="1"/>
                <w:color w:val="auto"/>
              </w:rPr>
              <w:t>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i w:val="1"/>
                <w:iCs w:val="1"/>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60"/>
              <w:spacing w:after="0" w:line="151" w:lineRule="exact"/>
              <w:rPr>
                <w:sz w:val="20"/>
                <w:szCs w:val="20"/>
                <w:color w:val="auto"/>
              </w:rPr>
            </w:pPr>
            <w:r>
              <w:rPr>
                <w:rFonts w:ascii="Times New Roman" w:cs="Times New Roman" w:eastAsia="Times New Roman" w:hAnsi="Times New Roman"/>
                <w:sz w:val="14"/>
                <w:szCs w:val="14"/>
                <w:i w:val="1"/>
                <w:iCs w:val="1"/>
                <w:color w:val="auto"/>
              </w:rPr>
              <w:t>4%</w:t>
            </w:r>
          </w:p>
        </w:tc>
        <w:tc>
          <w:tcPr>
            <w:tcW w:w="260" w:type="dxa"/>
            <w:vAlign w:val="bottom"/>
          </w:tcPr>
          <w:p>
            <w:pPr>
              <w:spacing w:after="0"/>
              <w:rPr>
                <w:sz w:val="13"/>
                <w:szCs w:val="13"/>
                <w:color w:val="auto"/>
              </w:rPr>
            </w:pPr>
          </w:p>
        </w:tc>
        <w:tc>
          <w:tcPr>
            <w:tcW w:w="1100" w:type="dxa"/>
            <w:vAlign w:val="bottom"/>
            <w:gridSpan w:val="2"/>
          </w:tcPr>
          <w:p>
            <w:pPr>
              <w:jc w:val="right"/>
              <w:ind w:right="60"/>
              <w:spacing w:after="0" w:line="151" w:lineRule="exact"/>
              <w:rPr>
                <w:sz w:val="20"/>
                <w:szCs w:val="20"/>
                <w:color w:val="auto"/>
              </w:rPr>
            </w:pPr>
            <w:r>
              <w:rPr>
                <w:rFonts w:ascii="Times New Roman" w:cs="Times New Roman" w:eastAsia="Times New Roman" w:hAnsi="Times New Roman"/>
                <w:sz w:val="14"/>
                <w:szCs w:val="14"/>
                <w:i w:val="1"/>
                <w:iCs w:val="1"/>
                <w:color w:val="auto"/>
              </w:rPr>
              <w:t>4%</w:t>
            </w:r>
          </w:p>
        </w:tc>
      </w:tr>
      <w:tr>
        <w:trPr>
          <w:trHeight w:val="146"/>
        </w:trPr>
        <w:tc>
          <w:tcPr>
            <w:tcW w:w="246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TheFork</w:t>
            </w: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i w:val="1"/>
                <w:iCs w:val="1"/>
                <w:color w:val="auto"/>
              </w:rPr>
              <w:t>12%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4"/>
                <w:szCs w:val="14"/>
                <w:i w:val="1"/>
                <w:iCs w:val="1"/>
                <w:color w:val="auto"/>
              </w:rPr>
              <w:t>10%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i w:val="1"/>
                <w:iCs w:val="1"/>
                <w:color w:val="auto"/>
              </w:rPr>
              <w:t>11%</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i w:val="1"/>
                <w:iCs w:val="1"/>
                <w:color w:val="auto"/>
              </w:rPr>
              <w:t>14%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4"/>
                <w:szCs w:val="14"/>
                <w:i w:val="1"/>
                <w:iCs w:val="1"/>
                <w:color w:val="auto"/>
              </w:rPr>
              <w:t>12%</w:t>
            </w:r>
          </w:p>
        </w:tc>
        <w:tc>
          <w:tcPr>
            <w:tcW w:w="260" w:type="dxa"/>
            <w:vAlign w:val="bottom"/>
          </w:tcPr>
          <w:p>
            <w:pPr>
              <w:spacing w:after="0"/>
              <w:rPr>
                <w:sz w:val="12"/>
                <w:szCs w:val="12"/>
                <w:color w:val="auto"/>
              </w:rPr>
            </w:pPr>
          </w:p>
        </w:tc>
        <w:tc>
          <w:tcPr>
            <w:tcW w:w="11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i w:val="1"/>
                <w:iCs w:val="1"/>
                <w:color w:val="auto"/>
              </w:rPr>
              <w:t>15%</w:t>
            </w:r>
          </w:p>
        </w:tc>
      </w:tr>
      <w:tr>
        <w:trPr>
          <w:trHeight w:val="176"/>
        </w:trPr>
        <w:tc>
          <w:tcPr>
            <w:tcW w:w="246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Intersegment revenue </w:t>
            </w:r>
            <w:r>
              <w:rPr>
                <w:rFonts w:ascii="Times New Roman" w:cs="Times New Roman" w:eastAsia="Times New Roman" w:hAnsi="Times New Roman"/>
                <w:sz w:val="19"/>
                <w:szCs w:val="19"/>
                <w:color w:val="auto"/>
                <w:vertAlign w:val="superscript"/>
              </w:rPr>
              <w:t>(8)</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(0)%</w:t>
            </w:r>
          </w:p>
        </w:tc>
        <w:tc>
          <w:tcPr>
            <w:tcW w:w="26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i w:val="1"/>
                <w:iCs w:val="1"/>
                <w:color w:val="auto"/>
              </w:rPr>
              <w:t>(0)%</w:t>
            </w:r>
          </w:p>
        </w:tc>
      </w:tr>
      <w:tr>
        <w:trPr>
          <w:trHeight w:val="445"/>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GAAP Net Income (Loss): </w:t>
            </w:r>
            <w:r>
              <w:rPr>
                <w:rFonts w:ascii="Times New Roman" w:cs="Times New Roman" w:eastAsia="Times New Roman" w:hAnsi="Times New Roman"/>
                <w:sz w:val="19"/>
                <w:szCs w:val="19"/>
                <w:color w:val="auto"/>
                <w:vertAlign w:val="superscript"/>
              </w:rPr>
              <w:t>(9)</w:t>
            </w:r>
          </w:p>
        </w:tc>
        <w:tc>
          <w:tcPr>
            <w:tcW w:w="11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w:t>
            </w:r>
          </w:p>
        </w:tc>
        <w:tc>
          <w:tcPr>
            <w:tcW w:w="24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53.2</w:t>
            </w:r>
          </w:p>
        </w:tc>
        <w:tc>
          <w:tcPr>
            <w:tcW w:w="22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(38.4)</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w:t>
            </w:r>
          </w:p>
        </w:tc>
        <w:tc>
          <w:tcPr>
            <w:tcW w:w="28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(32.4)</w:t>
            </w:r>
          </w:p>
        </w:tc>
      </w:tr>
      <w:tr>
        <w:trPr>
          <w:trHeight w:val="149"/>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 (y/y)</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(81)%</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i w:val="1"/>
                <w:iCs w:val="1"/>
                <w:color w:val="auto"/>
              </w:rPr>
              <w:t>49%</w:t>
            </w: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38%</w:t>
            </w: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(2500)%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712%</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i w:val="1"/>
                <w:iCs w:val="1"/>
                <w:color w:val="auto"/>
              </w:rPr>
              <w:t>195%</w:t>
            </w:r>
          </w:p>
        </w:tc>
      </w:tr>
      <w:tr>
        <w:trPr>
          <w:trHeight w:val="190"/>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GAAP Net Income (Loss) margin</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713232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-1534795</wp:posOffset>
            </wp:positionV>
            <wp:extent cx="713232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939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348" w:lineRule="exact"/>
        <w:rPr>
          <w:sz w:val="20"/>
          <w:szCs w:val="20"/>
          <w:color w:val="auto"/>
        </w:rPr>
      </w:pPr>
    </w:p>
    <w:p>
      <w:pPr>
        <w:ind w:left="500" w:right="920" w:hanging="342"/>
        <w:spacing w:after="0" w:line="233"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$4.6 million, presented in the second quarter of 2025, represents the reversal of an estimated accrual related to the settlement of a regulatory related matter, based on updated information at the time.</w:t>
      </w:r>
    </w:p>
    <w:p>
      <w:pPr>
        <w:ind w:left="50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during the first quarter of 2026.</w:t>
      </w:r>
    </w:p>
    <w:p>
      <w:pPr>
        <w:ind w:left="500" w:right="142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has reduced Adjusted EBITDA by this recovery amount during the first quarter of 2026. The Company considers such recovery to be non-recurring in nature.</w:t>
      </w:r>
    </w:p>
    <w:p>
      <w:pPr>
        <w:ind w:left="50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capitalized website development.</w:t>
      </w:r>
    </w:p>
    <w:p>
      <w:pPr>
        <w:ind w:left="500" w:right="148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non-GAAP adjustments described above are reported on a pre-tax basis. The income tax effect on these non-GAAP adjustments was calculated based on the individual impact that these items had on our GAAP consolidated income tax expense (benefit) for the periods presented.</w:t>
      </w:r>
    </w:p>
    <w:p>
      <w:pPr>
        <w:ind w:left="500" w:right="130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periods for which we present net income, interest expense on our 2026 Senior Notes, net of tax, was added back to the numerator for purposes of the if-converted method used to calculate both GAAP and non-GAAP diluted net income per share, as share settlement is presumed under GAAP.</w:t>
      </w:r>
    </w:p>
    <w:p>
      <w:pPr>
        <w:ind w:left="500" w:right="94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periods for which we present a GAAP net loss, but Non-GAAP net income, the Company calculates GAAP diluted shares using the treasury stock method, adjusted for the 2026 Senior Notes using the if-converted method, as share settlement is presumed under GAAP, in order to calculate Non-GAAP Diluted EPS.</w:t>
      </w:r>
    </w:p>
    <w:p>
      <w:pPr>
        <w:ind w:left="500" w:right="900" w:hanging="342"/>
        <w:spacing w:after="0" w:line="221" w:lineRule="auto"/>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includes Tripadvisor dining revenue within the Hotels and Other segment which is shown in this table gross of intersegment (intercompany) revenue, which is eliminated on a consolidated basis.</w:t>
      </w:r>
    </w:p>
    <w:p>
      <w:pPr>
        <w:ind w:left="500" w:hanging="342"/>
        <w:spacing w:after="0"/>
        <w:tabs>
          <w:tab w:leader="none" w:pos="5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calculate or report net income by segment.</w:t>
      </w:r>
    </w:p>
    <w:p>
      <w:pPr>
        <w:spacing w:after="0" w:line="12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Full-year totals reflect data as reported and may differ from the summation of the quarterly data on this table due to rounding.</w:t>
      </w:r>
    </w:p>
    <w:p>
      <w:pPr>
        <w:spacing w:after="0" w:line="3" w:lineRule="exact"/>
        <w:rPr>
          <w:rFonts w:ascii="Times New Roman" w:cs="Times New Roman" w:eastAsia="Times New Roman" w:hAnsi="Times New Roman"/>
          <w:sz w:val="14"/>
          <w:szCs w:val="14"/>
          <w:color w:val="auto"/>
        </w:rPr>
      </w:pPr>
    </w:p>
    <w:p>
      <w:pPr>
        <w:ind w:left="180" w:hanging="172"/>
        <w:spacing w:after="0" w:line="226" w:lineRule="auto"/>
        <w:tabs>
          <w:tab w:leader="none" w:pos="1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may not total to 100% due to rounding.</w:t>
      </w: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Total Consolidated Adjusted EBITDA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Q1</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Q2</w:t>
            </w:r>
          </w:p>
        </w:tc>
        <w:tc>
          <w:tcPr>
            <w:tcW w:w="200" w:type="dxa"/>
            <w:vAlign w:val="bottom"/>
          </w:tcPr>
          <w:p>
            <w:pPr>
              <w:spacing w:after="0"/>
              <w:rPr>
                <w:sz w:val="12"/>
                <w:szCs w:val="12"/>
                <w:color w:val="auto"/>
              </w:rPr>
            </w:pPr>
          </w:p>
        </w:tc>
        <w:tc>
          <w:tcPr>
            <w:tcW w:w="94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Q3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Q4</w:t>
            </w:r>
          </w:p>
        </w:tc>
        <w:tc>
          <w:tcPr>
            <w:tcW w:w="200" w:type="dxa"/>
            <w:vAlign w:val="bottom"/>
          </w:tcPr>
          <w:p>
            <w:pPr>
              <w:spacing w:after="0"/>
              <w:rPr>
                <w:sz w:val="12"/>
                <w:szCs w:val="12"/>
                <w:color w:val="auto"/>
              </w:rPr>
            </w:pPr>
          </w:p>
        </w:tc>
        <w:tc>
          <w:tcPr>
            <w:tcW w:w="72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3"/>
                <w:szCs w:val="13"/>
                <w:b w:val="1"/>
                <w:bCs w:val="1"/>
                <w:color w:val="auto"/>
              </w:rPr>
              <w:t>FY*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Q1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700" w:type="dxa"/>
            <w:vAlign w:val="bottom"/>
            <w:gridSpan w:val="2"/>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398.2</w:t>
            </w:r>
          </w:p>
        </w:tc>
        <w:tc>
          <w:tcPr>
            <w:tcW w:w="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529.2</w:t>
            </w:r>
          </w:p>
        </w:tc>
        <w:tc>
          <w:tcPr>
            <w:tcW w:w="30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552.5</w:t>
            </w:r>
          </w:p>
        </w:tc>
        <w:tc>
          <w:tcPr>
            <w:tcW w:w="22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411.3</w:t>
            </w:r>
          </w:p>
        </w:tc>
        <w:tc>
          <w:tcPr>
            <w:tcW w:w="28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1,891.3</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Marketing</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171.6</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217.7</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174.8</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791.4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177.6</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00"/>
              <w:spacing w:after="0" w:line="176" w:lineRule="exact"/>
              <w:rPr>
                <w:sz w:val="20"/>
                <w:szCs w:val="20"/>
                <w:color w:val="auto"/>
              </w:rPr>
            </w:pPr>
            <w:r>
              <w:rPr>
                <w:rFonts w:ascii="Times New Roman" w:cs="Times New Roman" w:eastAsia="Times New Roman" w:hAnsi="Times New Roman"/>
                <w:sz w:val="13"/>
                <w:szCs w:val="13"/>
                <w:color w:val="auto"/>
              </w:rPr>
              <w:t xml:space="preserve">Personnel </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Technology</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 xml:space="preserve">General and administrative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Consolidated Adjusted EBITDA</w:t>
            </w:r>
          </w:p>
        </w:tc>
        <w:tc>
          <w:tcPr>
            <w:tcW w:w="700" w:type="dxa"/>
            <w:vAlign w:val="bottom"/>
            <w:gridSpan w:val="2"/>
            <w:shd w:val="clear" w:color="auto" w:fill="CFF0FC"/>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w:t>
            </w: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107.0</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122.5</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45.4</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318.7</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22.1</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Growth % (y/y)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(6)%</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11%</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i w:val="1"/>
                <w:iCs w:val="1"/>
                <w:color w:val="auto"/>
              </w:rPr>
              <w:t>(38)%</w:t>
            </w:r>
          </w:p>
        </w:tc>
        <w:tc>
          <w:tcPr>
            <w:tcW w:w="20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(50)%</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Adjusted EBITDA Margin</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11.0%</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20.2%</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22.2%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11.0%</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16.9%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5.8%</w:t>
            </w:r>
          </w:p>
        </w:tc>
        <w:tc>
          <w:tcPr>
            <w:tcW w:w="0" w:type="dxa"/>
            <w:vAlign w:val="bottom"/>
          </w:tcPr>
          <w:p>
            <w:pPr>
              <w:spacing w:after="0"/>
              <w:rPr>
                <w:sz w:val="1"/>
                <w:szCs w:val="1"/>
                <w:color w:val="auto"/>
              </w:rPr>
            </w:pPr>
          </w:p>
        </w:tc>
      </w:tr>
      <w:tr>
        <w:trPr>
          <w:trHeight w:val="297"/>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Intersegment revenue </w:t>
            </w:r>
            <w:r>
              <w:rPr>
                <w:rFonts w:ascii="Times New Roman" w:cs="Times New Roman" w:eastAsia="Times New Roman" w:hAnsi="Times New Roman"/>
                <w:sz w:val="18"/>
                <w:szCs w:val="18"/>
                <w:color w:val="auto"/>
                <w:vertAlign w:val="superscript"/>
              </w:rPr>
              <w:t>(3)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(0.9)</w:t>
            </w:r>
          </w:p>
        </w:tc>
        <w:tc>
          <w:tcPr>
            <w:tcW w:w="2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Segment - Experiences</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700" w:type="dxa"/>
            <w:vAlign w:val="bottom"/>
            <w:gridSpan w:val="2"/>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155.8</w:t>
            </w:r>
          </w:p>
        </w:tc>
        <w:tc>
          <w:tcPr>
            <w:tcW w:w="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270.5</w:t>
            </w:r>
          </w:p>
        </w:tc>
        <w:tc>
          <w:tcPr>
            <w:tcW w:w="30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294.3</w:t>
            </w:r>
          </w:p>
        </w:tc>
        <w:tc>
          <w:tcPr>
            <w:tcW w:w="22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203.7</w:t>
            </w:r>
          </w:p>
        </w:tc>
        <w:tc>
          <w:tcPr>
            <w:tcW w:w="28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924.4</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Marketing</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152.1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159.7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120.0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538.2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118.7</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line="176" w:lineRule="exact"/>
              <w:rPr>
                <w:sz w:val="20"/>
                <w:szCs w:val="20"/>
                <w:color w:val="auto"/>
              </w:rPr>
            </w:pPr>
            <w:r>
              <w:rPr>
                <w:rFonts w:ascii="Times New Roman" w:cs="Times New Roman" w:eastAsia="Times New Roman" w:hAnsi="Times New Roman"/>
                <w:sz w:val="13"/>
                <w:szCs w:val="13"/>
                <w:color w:val="auto"/>
              </w:rPr>
              <w:t xml:space="preserve">Personnel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Technology</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700" w:type="dxa"/>
            <w:vAlign w:val="bottom"/>
            <w:gridSpan w:val="2"/>
            <w:shd w:val="clear" w:color="auto" w:fill="CFF0FC"/>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(14.1)</w:t>
            </w: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38.0</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52.6</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91.1</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(19.2)</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Growth % (y/y)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(27)%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49%</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i w:val="1"/>
                <w:iCs w:val="1"/>
                <w:color w:val="auto"/>
              </w:rPr>
              <w:t>(50)%</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36%</w:t>
            </w: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(9.1)%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14.0%</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17.9%</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7.2%</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9.9%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(11.4)%</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Segment - Hotels and Other</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Total Revenue </w:t>
            </w:r>
            <w:r>
              <w:rPr>
                <w:rFonts w:ascii="Times New Roman" w:cs="Times New Roman" w:eastAsia="Times New Roman" w:hAnsi="Times New Roman"/>
                <w:sz w:val="18"/>
                <w:szCs w:val="18"/>
                <w:color w:val="auto"/>
                <w:vertAlign w:val="superscript"/>
              </w:rPr>
              <w:t>(3)</w:t>
            </w:r>
          </w:p>
        </w:tc>
        <w:tc>
          <w:tcPr>
            <w:tcW w:w="700" w:type="dxa"/>
            <w:vAlign w:val="bottom"/>
            <w:gridSpan w:val="2"/>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196.7</w:t>
            </w:r>
          </w:p>
        </w:tc>
        <w:tc>
          <w:tcPr>
            <w:tcW w:w="24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205.5</w:t>
            </w:r>
          </w:p>
        </w:tc>
        <w:tc>
          <w:tcPr>
            <w:tcW w:w="3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196.5</w:t>
            </w:r>
          </w:p>
        </w:tc>
        <w:tc>
          <w:tcPr>
            <w:tcW w:w="22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151.3</w:t>
            </w:r>
          </w:p>
        </w:tc>
        <w:tc>
          <w:tcPr>
            <w:tcW w:w="28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750.1</w:t>
            </w:r>
          </w:p>
        </w:tc>
        <w:tc>
          <w:tcPr>
            <w:tcW w:w="22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Marketing</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55.3</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52.7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40.3</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195.5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42.5</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00"/>
              <w:spacing w:after="0" w:line="176" w:lineRule="exact"/>
              <w:rPr>
                <w:sz w:val="20"/>
                <w:szCs w:val="20"/>
                <w:color w:val="auto"/>
              </w:rPr>
            </w:pPr>
            <w:r>
              <w:rPr>
                <w:rFonts w:ascii="Times New Roman" w:cs="Times New Roman" w:eastAsia="Times New Roman" w:hAnsi="Times New Roman"/>
                <w:sz w:val="13"/>
                <w:szCs w:val="13"/>
                <w:color w:val="auto"/>
              </w:rPr>
              <w:t xml:space="preserve">Personnel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Technology</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700" w:type="dxa"/>
            <w:vAlign w:val="bottom"/>
            <w:gridSpan w:val="2"/>
            <w:shd w:val="clear" w:color="auto" w:fill="CFF0FC"/>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61.4</w:t>
            </w: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60.2</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56.1</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29.6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207.2</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36.7</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Growth % (y/y)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(12)%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i w:val="1"/>
                <w:iCs w:val="1"/>
                <w:color w:val="auto"/>
              </w:rPr>
              <w:t>(11)%</w:t>
            </w:r>
          </w:p>
        </w:tc>
        <w:tc>
          <w:tcPr>
            <w:tcW w:w="2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(23)%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i w:val="1"/>
                <w:iCs w:val="1"/>
                <w:color w:val="auto"/>
              </w:rPr>
              <w:t>(32)%</w:t>
            </w:r>
          </w:p>
        </w:tc>
        <w:tc>
          <w:tcPr>
            <w:tcW w:w="20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i w:val="1"/>
                <w:iCs w:val="1"/>
                <w:color w:val="auto"/>
              </w:rPr>
              <w:t>(40)%</w:t>
            </w: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31.2%</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29.3%</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28.5%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19.6%</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27.6%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23.2%</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Segment - TheFork</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700" w:type="dxa"/>
            <w:vAlign w:val="bottom"/>
            <w:gridSpan w:val="2"/>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46.4</w:t>
            </w:r>
          </w:p>
        </w:tc>
        <w:tc>
          <w:tcPr>
            <w:tcW w:w="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54.2</w:t>
            </w:r>
          </w:p>
        </w:tc>
        <w:tc>
          <w:tcPr>
            <w:tcW w:w="30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62.9</w:t>
            </w:r>
          </w:p>
        </w:tc>
        <w:tc>
          <w:tcPr>
            <w:tcW w:w="22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57.2</w:t>
            </w:r>
          </w:p>
        </w:tc>
        <w:tc>
          <w:tcPr>
            <w:tcW w:w="28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220.8</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5.8</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line="149" w:lineRule="exact"/>
              <w:rPr>
                <w:sz w:val="20"/>
                <w:szCs w:val="20"/>
                <w:color w:val="auto"/>
              </w:rPr>
            </w:pPr>
            <w:r>
              <w:rPr>
                <w:rFonts w:ascii="Times New Roman" w:cs="Times New Roman" w:eastAsia="Times New Roman" w:hAnsi="Times New Roman"/>
                <w:sz w:val="13"/>
                <w:szCs w:val="13"/>
                <w:color w:val="auto"/>
              </w:rPr>
              <w:t xml:space="preserve">Marketing </w:t>
            </w:r>
            <w:r>
              <w:rPr>
                <w:rFonts w:ascii="Times New Roman" w:cs="Times New Roman" w:eastAsia="Times New Roman" w:hAnsi="Times New Roman"/>
                <w:sz w:val="17"/>
                <w:szCs w:val="17"/>
                <w:color w:val="auto"/>
                <w:vertAlign w:val="superscript"/>
              </w:rPr>
              <w:t>(5)</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00"/>
              <w:spacing w:after="0" w:line="176" w:lineRule="exact"/>
              <w:rPr>
                <w:sz w:val="20"/>
                <w:szCs w:val="20"/>
                <w:color w:val="auto"/>
              </w:rPr>
            </w:pPr>
            <w:r>
              <w:rPr>
                <w:rFonts w:ascii="Times New Roman" w:cs="Times New Roman" w:eastAsia="Times New Roman" w:hAnsi="Times New Roman"/>
                <w:sz w:val="13"/>
                <w:szCs w:val="13"/>
                <w:color w:val="auto"/>
              </w:rPr>
              <w:t xml:space="preserve">Personnel </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Technology</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700" w:type="dxa"/>
            <w:vAlign w:val="bottom"/>
            <w:gridSpan w:val="2"/>
            <w:shd w:val="clear" w:color="auto" w:fill="CFF0FC"/>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(3.5)</w:t>
            </w: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8.8</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13.8</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20.4</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Growth % (y/y)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184%</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151%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300%</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n.m.</w:t>
            </w:r>
          </w:p>
        </w:tc>
        <w:tc>
          <w:tcPr>
            <w:tcW w:w="0" w:type="dxa"/>
            <w:vAlign w:val="bottom"/>
          </w:tcPr>
          <w:p>
            <w:pPr>
              <w:spacing w:after="0"/>
              <w:rPr>
                <w:sz w:val="1"/>
                <w:szCs w:val="1"/>
                <w:color w:val="auto"/>
              </w:rPr>
            </w:pPr>
          </w:p>
        </w:tc>
      </w:tr>
      <w:tr>
        <w:trPr>
          <w:trHeight w:val="14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Adjusted EBITDA Margin</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i w:val="1"/>
                <w:iCs w:val="1"/>
                <w:color w:val="auto"/>
              </w:rPr>
              <w:t>(7.5)%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16.2%</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21.9%</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2.1%</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9.2%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8.0%</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center"/>
              <w:ind w:right="19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Q1</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Q2</w:t>
            </w:r>
          </w:p>
        </w:tc>
        <w:tc>
          <w:tcPr>
            <w:tcW w:w="200" w:type="dxa"/>
            <w:vAlign w:val="bottom"/>
          </w:tcPr>
          <w:p>
            <w:pPr>
              <w:spacing w:after="0"/>
              <w:rPr>
                <w:sz w:val="12"/>
                <w:szCs w:val="12"/>
                <w:color w:val="auto"/>
              </w:rPr>
            </w:pPr>
          </w:p>
        </w:tc>
        <w:tc>
          <w:tcPr>
            <w:tcW w:w="94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Q3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Q4</w:t>
            </w:r>
          </w:p>
        </w:tc>
        <w:tc>
          <w:tcPr>
            <w:tcW w:w="200" w:type="dxa"/>
            <w:vAlign w:val="bottom"/>
          </w:tcPr>
          <w:p>
            <w:pPr>
              <w:spacing w:after="0"/>
              <w:rPr>
                <w:sz w:val="12"/>
                <w:szCs w:val="12"/>
                <w:color w:val="auto"/>
              </w:rPr>
            </w:pPr>
          </w:p>
        </w:tc>
        <w:tc>
          <w:tcPr>
            <w:tcW w:w="94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3"/>
                <w:szCs w:val="13"/>
                <w:b w:val="1"/>
                <w:bCs w:val="1"/>
                <w:color w:val="auto"/>
              </w:rPr>
              <w:t>FY*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Q1</w:t>
            </w:r>
          </w:p>
        </w:tc>
        <w:tc>
          <w:tcPr>
            <w:tcW w:w="0" w:type="dxa"/>
            <w:vAlign w:val="bottom"/>
          </w:tcPr>
          <w:p>
            <w:pPr>
              <w:spacing w:after="0"/>
              <w:rPr>
                <w:sz w:val="1"/>
                <w:szCs w:val="1"/>
                <w:color w:val="auto"/>
              </w:rPr>
            </w:pPr>
          </w:p>
        </w:tc>
      </w:tr>
      <w:tr>
        <w:trPr>
          <w:trHeight w:val="125"/>
        </w:trPr>
        <w:tc>
          <w:tcPr>
            <w:tcW w:w="37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Reconciliation from GAAP Operating Expenses to Non-GAAP</w:t>
            </w:r>
          </w:p>
        </w:tc>
        <w:tc>
          <w:tcPr>
            <w:tcW w:w="16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GAAP Personnel</w:t>
            </w:r>
          </w:p>
        </w:tc>
        <w:tc>
          <w:tcPr>
            <w:tcW w:w="700" w:type="dxa"/>
            <w:vAlign w:val="bottom"/>
            <w:gridSpan w:val="2"/>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143.8</w:t>
            </w:r>
          </w:p>
        </w:tc>
        <w:tc>
          <w:tcPr>
            <w:tcW w:w="24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149.1</w:t>
            </w:r>
          </w:p>
        </w:tc>
        <w:tc>
          <w:tcPr>
            <w:tcW w:w="30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147.2</w:t>
            </w:r>
          </w:p>
        </w:tc>
        <w:tc>
          <w:tcPr>
            <w:tcW w:w="22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133.3</w:t>
            </w:r>
          </w:p>
        </w:tc>
        <w:tc>
          <w:tcPr>
            <w:tcW w:w="280" w:type="dxa"/>
            <w:vAlign w:val="bottom"/>
          </w:tcPr>
          <w:p>
            <w:pPr>
              <w:spacing w:after="0"/>
              <w:rPr>
                <w:sz w:val="12"/>
                <w:szCs w:val="12"/>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573.4</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Subtract: Stock-based compensation expense</w:t>
            </w:r>
          </w:p>
        </w:tc>
        <w:tc>
          <w:tcPr>
            <w:tcW w:w="1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2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3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Non-GAAP Personnel</w:t>
            </w:r>
          </w:p>
        </w:tc>
        <w:tc>
          <w:tcPr>
            <w:tcW w:w="700" w:type="dxa"/>
            <w:vAlign w:val="bottom"/>
            <w:gridSpan w:val="2"/>
          </w:tcPr>
          <w:p>
            <w:pPr>
              <w:jc w:val="right"/>
              <w:ind w:right="4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115.9</w:t>
            </w:r>
          </w:p>
        </w:tc>
        <w:tc>
          <w:tcPr>
            <w:tcW w:w="240" w:type="dxa"/>
            <w:vAlign w:val="bottom"/>
          </w:tcPr>
          <w:p>
            <w:pPr>
              <w:spacing w:after="0"/>
              <w:rPr>
                <w:sz w:val="12"/>
                <w:szCs w:val="12"/>
                <w:color w:val="auto"/>
              </w:rPr>
            </w:pPr>
          </w:p>
        </w:tc>
        <w:tc>
          <w:tcPr>
            <w:tcW w:w="2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120.0</w:t>
            </w:r>
          </w:p>
        </w:tc>
        <w:tc>
          <w:tcPr>
            <w:tcW w:w="30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118.7</w:t>
            </w:r>
          </w:p>
        </w:tc>
        <w:tc>
          <w:tcPr>
            <w:tcW w:w="220" w:type="dxa"/>
            <w:vAlign w:val="bottom"/>
          </w:tcPr>
          <w:p>
            <w:pPr>
              <w:spacing w:after="0"/>
              <w:rPr>
                <w:sz w:val="12"/>
                <w:szCs w:val="12"/>
                <w:color w:val="auto"/>
              </w:rPr>
            </w:pPr>
          </w:p>
        </w:tc>
        <w:tc>
          <w:tcPr>
            <w:tcW w:w="2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110.9</w:t>
            </w:r>
          </w:p>
        </w:tc>
        <w:tc>
          <w:tcPr>
            <w:tcW w:w="280" w:type="dxa"/>
            <w:vAlign w:val="bottom"/>
          </w:tcPr>
          <w:p>
            <w:pPr>
              <w:spacing w:after="0"/>
              <w:rPr>
                <w:sz w:val="12"/>
                <w:szCs w:val="12"/>
                <w:color w:val="auto"/>
              </w:rPr>
            </w:pPr>
          </w:p>
        </w:tc>
        <w:tc>
          <w:tcPr>
            <w:tcW w:w="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465.6</w:t>
            </w:r>
          </w:p>
        </w:tc>
        <w:tc>
          <w:tcPr>
            <w:tcW w:w="220" w:type="dxa"/>
            <w:vAlign w:val="bottom"/>
          </w:tcPr>
          <w:p>
            <w:pPr>
              <w:spacing w:after="0"/>
              <w:rPr>
                <w:sz w:val="12"/>
                <w:szCs w:val="12"/>
                <w:color w:val="auto"/>
              </w:rPr>
            </w:pPr>
          </w:p>
        </w:tc>
        <w:tc>
          <w:tcPr>
            <w:tcW w:w="3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i w:val="1"/>
                <w:iCs w:val="1"/>
                <w:color w:val="auto"/>
              </w:rPr>
              <w:t>% of revenue</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29.1%</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22.7%</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21.5%</w:t>
            </w: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27.0%</w:t>
            </w: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24.6%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28.5%</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GAAP General and administrative</w:t>
            </w:r>
          </w:p>
        </w:tc>
        <w:tc>
          <w:tcPr>
            <w:tcW w:w="700" w:type="dxa"/>
            <w:vAlign w:val="bottom"/>
            <w:gridSpan w:val="2"/>
            <w:shd w:val="clear" w:color="auto" w:fill="CFF0FC"/>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17.7</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67.9</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14.7</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8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Subtract: Legal reserves, settlements and other</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780" w:type="dxa"/>
            <w:vAlign w:val="bottom"/>
          </w:tcPr>
          <w:p>
            <w:pPr>
              <w:ind w:left="100"/>
              <w:spacing w:after="0" w:line="153" w:lineRule="exact"/>
              <w:rPr>
                <w:sz w:val="20"/>
                <w:szCs w:val="20"/>
                <w:color w:val="auto"/>
              </w:rPr>
            </w:pPr>
            <w:r>
              <w:rPr>
                <w:rFonts w:ascii="Times New Roman" w:cs="Times New Roman" w:eastAsia="Times New Roman" w:hAnsi="Times New Roman"/>
                <w:sz w:val="13"/>
                <w:szCs w:val="13"/>
                <w:color w:val="auto"/>
              </w:rPr>
              <w:t xml:space="preserve">Subtract: Transaction related expenses </w:t>
            </w:r>
            <w:r>
              <w:rPr>
                <w:rFonts w:ascii="Times New Roman" w:cs="Times New Roman" w:eastAsia="Times New Roman" w:hAnsi="Times New Roman"/>
                <w:sz w:val="17"/>
                <w:szCs w:val="17"/>
                <w:color w:val="auto"/>
                <w:vertAlign w:val="superscript"/>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80" w:type="dxa"/>
            <w:vAlign w:val="bottom"/>
          </w:tcPr>
          <w:p>
            <w:pPr>
              <w:ind w:left="100"/>
              <w:spacing w:after="0" w:line="171" w:lineRule="exact"/>
              <w:rPr>
                <w:sz w:val="20"/>
                <w:szCs w:val="20"/>
                <w:color w:val="auto"/>
              </w:rPr>
            </w:pPr>
            <w:r>
              <w:rPr>
                <w:rFonts w:ascii="Times New Roman" w:cs="Times New Roman" w:eastAsia="Times New Roman" w:hAnsi="Times New Roman"/>
                <w:sz w:val="13"/>
                <w:szCs w:val="13"/>
                <w:color w:val="auto"/>
              </w:rPr>
              <w:t xml:space="preserve">Subtract: Non-recurring expenses (income) </w:t>
            </w:r>
            <w:r>
              <w:rPr>
                <w:rFonts w:ascii="Times New Roman" w:cs="Times New Roman" w:eastAsia="Times New Roman" w:hAnsi="Times New Roman"/>
                <w:sz w:val="18"/>
                <w:szCs w:val="18"/>
                <w:color w:val="auto"/>
                <w:vertAlign w:val="superscript"/>
              </w:rPr>
              <w:t>(7)</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Non-GAAP General and administrative</w:t>
            </w:r>
          </w:p>
        </w:tc>
        <w:tc>
          <w:tcPr>
            <w:tcW w:w="700" w:type="dxa"/>
            <w:vAlign w:val="bottom"/>
            <w:gridSpan w:val="2"/>
            <w:shd w:val="clear" w:color="auto" w:fill="CFF0FC"/>
          </w:tcPr>
          <w:p>
            <w:pPr>
              <w:jc w:val="right"/>
              <w:ind w:right="4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17.4</w:t>
            </w:r>
          </w:p>
        </w:tc>
        <w:tc>
          <w:tcPr>
            <w:tcW w:w="2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17.8</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17.7</w:t>
            </w: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72.3</w:t>
            </w:r>
          </w:p>
        </w:tc>
        <w:tc>
          <w:tcPr>
            <w:tcW w:w="22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-6102985</wp:posOffset>
            </wp:positionV>
            <wp:extent cx="713232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-4962525</wp:posOffset>
            </wp:positionV>
            <wp:extent cx="7132320"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-4396740</wp:posOffset>
            </wp:positionV>
            <wp:extent cx="7132320"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93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-1259205</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-1259205</wp:posOffset>
            </wp:positionV>
            <wp:extent cx="1117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-770890</wp:posOffset>
            </wp:positionV>
            <wp:extent cx="111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-770890</wp:posOffset>
            </wp:positionV>
            <wp:extent cx="111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-770890</wp:posOffset>
            </wp:positionV>
            <wp:extent cx="1111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-770890</wp:posOffset>
            </wp:positionV>
            <wp:extent cx="1111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-770890</wp:posOffset>
            </wp:positionV>
            <wp:extent cx="1111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-770890</wp:posOffset>
            </wp:positionV>
            <wp:extent cx="1117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500" w:right="1080" w:hanging="342"/>
        <w:spacing w:after="0" w:line="229"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a non-GAAP measure, and certain operating expenses used to calculate Consolidated Adjusted EBITDA are also non-GAAP given they exclude GAAP expenses in some cases. Please refer to above for our definitions of non-GAAP operating expenses, as well as below for reconciliations to the most directly comparable GAAP measure.</w:t>
      </w:r>
    </w:p>
    <w:p>
      <w:pPr>
        <w:ind w:left="500" w:hanging="342"/>
        <w:spacing w:after="0" w:line="221"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GAAP Operating Expenses to non-GAAP Operating Expenses reconciliations above.</w:t>
      </w:r>
    </w:p>
    <w:p>
      <w:pPr>
        <w:ind w:left="500" w:hanging="342"/>
        <w:spacing w:after="0" w:line="221"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Hotels and Other segment shown in this table is gross of intersegment (intercompany) revenue, which is eliminated on a consolidated basis.</w:t>
      </w:r>
    </w:p>
    <w:p>
      <w:pPr>
        <w:ind w:left="500" w:hanging="342"/>
        <w:spacing w:after="0" w:line="221"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exclusive of stock-based compensation expense. Please refer above to our definition of Adjusted EBITDA, which is our segment measure under GAAP.</w:t>
      </w:r>
    </w:p>
    <w:p>
      <w:pPr>
        <w:ind w:left="500" w:hanging="342"/>
        <w:spacing w:after="0" w:line="221"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TheFork segment marketing expenses are shown gross of intersegment (intercompany) expenses, which is eliminated on a consolidated basis.</w:t>
      </w:r>
    </w:p>
    <w:p>
      <w:pPr>
        <w:ind w:left="500" w:right="1380" w:hanging="342"/>
        <w:spacing w:after="0" w:line="221"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during the first quarter of 2026, to general and administrative expenses on our unaudited condensed consolidated statements of operations.</w:t>
      </w:r>
    </w:p>
    <w:p>
      <w:pPr>
        <w:ind w:left="500" w:right="1080" w:hanging="342"/>
        <w:spacing w:after="0" w:line="233" w:lineRule="auto"/>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has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spacing w:after="0" w:line="10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Full-year totals reflect data as reported and may differ from the summation of the quarterly data on this table due to rounding.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2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We review a number of metrics, including, but not limited to, monthly active users, hotel shoppers, cost-per-click, gross booking value (“GBV”), and number of experience bookings, both defined below, seated diners, dining bookings, and other metrics, to evaluate our business, measure our performance, identify trends affecting our business, formulate business plans and make strategic decisions. We make certain metrics available to investors as we believe they are useful to investors both because they allow for greater transparency with respect to metrics used by management in its financial and operational decision-making, and because they may be used by investors to help analyze the health of our business.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While these numbers are based on what we believe to be reasonable estimates for the applicable period of measurement, there are inherent challenges in measuring usage and user engagement across our large user base around the world. For example, a single user may have multiple member accounts or browse the internet on multiple browsers or devices, some users may restrict our ability to accurately identify them across visits, and we are not always able to capture user information on all of our platforms. As such, the calculations of our unique users may not accurately reflect the actual number of people or organizations using our platform. Our metrics are also affected by applications that automatically contact our servers for regular updates with no discernible user action involved, and this activity can cause our system to count the users associated with such applications as active users on the day or days such contact occurs. As such, the calculation of some of the metrics presented may be affected as a result of this activity, or other reasons. We regularly review our processes and may adjust how we calculate our internal metrics to improve their accuracy.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Variable costs consist of cost of sales and marketing expenses.</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Fixed costs consist of personnel, technology, and general and administrative expenses, not including stock-based compensation, depreciation, amortization, restructuring and other related reorganization costs, legal reserves, settlements and other, transaction related expenses, non-recurring expenses and income, interest expense, or income taxes.</w:t>
      </w:r>
    </w:p>
    <w:p>
      <w:pPr>
        <w:spacing w:after="0" w:line="17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We use the operating metrics described below to assist us in measuring our operations performance, identifying trends, formulating projections and making strategic decisions for our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None of these metrics should be considered as an alternative to any measure of financial performance calculated in accordance with GAAP.</w:t>
      </w:r>
    </w:p>
    <w:p>
      <w:pPr>
        <w:spacing w:after="0" w:line="17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GBV represents the total dollar value of experience bookings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 operators, and partners).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20"/>
          <w:szCs w:val="20"/>
          <w:color w:val="auto"/>
        </w:rPr>
        <w:t>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p>
    <w:p>
      <w:pPr>
        <w:spacing w:after="0" w:line="17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11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Statements in this press release, as well as statements by our executive officers, regarding management’s future expectations, beliefs, intentions, goals, strategies, plans or prospects, including, without limitation, statements relating to Tripadvisor’s future financial performance on both a GAAP and non-GAAP basis, and Tripadvisor’s prospects as a comprehensive destination for hotels, experiences, and restaurants, may constitute forward-looking statements within the meaning of the Private Securities Litigation Reform Act of 1995 and other federal securities laws. Forward-looking statements can be identified by terminology such as “anticipate,” “believe,” “could,” “estimate,” “expect,” “intend,” “is planned,” “may,” “should,” “will,” “would,” “opportunity,” “goal,” “objective” or similar terms, variations of such terms or the negative of those terms. Investors are cautioned that statements in this press release, which are not strictly historical statements, including, without limitation, statements with respect to our experiences-led strategy, changes in our operating model, expected cost savings, growth objectives, AI-led initiatives, product innovation, strategic investments and partnership opportunities, capital allocation and stock repurchases, business and market trends, estimated pre-tax restructuring and other related reorganization costs, and our financial outlook and statements regarding management’s plans, objectives and strategies, constitute forward-looking statements. Such forward-looking statements involve known and unknown risks, uncertainties and other factors including, but not limited to, our ability to execute and achieve the expected benefits from our strategic focus on experiences, our ability to successfully re-align our operating model, our ability to realize the anticipated cost savings and expected timing, our ability to leverage the Company's data to capitalize on AI-led opportunities, our ability to respond to market trends and technological changes, and those risks, uncertainties and factors detailed in Tripadvisor’s filings with the SEC. As a result of such risks, uncertainties and factors, Tripadvisor’s actual results may differ materially from any future results, performance or achievements discussed in or implied by the forward-looking statements contained herein. Tripadvisor is providing the information in this press release as of this date and assumes no obligations to update the information included in this press release or revise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Tripadvisor, Inc.</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Tripadvisor Group connects people to experiences worth sharing, and aims to be the world’s most trusted source for travel and experiences. We leverage our brands, technology, and capabilities to connect our global audience with partners through rich content, travel guidance, and two-sided marketplaces for experiences, restaurants, and other travel categories such as hotels. The subsidiaries of Tripadvisor, Inc. (Nasdaq: TRIP), include a portfolio of travel brands and businesses, including Tripadvisor, Viator, and TheFork.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t>
      </w:r>
    </w:p>
    <w:p>
      <w:pPr>
        <w:spacing w:after="0"/>
        <w:rPr>
          <w:sz w:val="20"/>
          <w:szCs w:val="20"/>
          <w:color w:val="auto"/>
        </w:rPr>
      </w:pPr>
      <w:r>
        <w:rPr>
          <w:rFonts w:ascii="Times New Roman" w:cs="Times New Roman" w:eastAsia="Times New Roman" w:hAnsi="Times New Roman"/>
          <w:sz w:val="20"/>
          <w:szCs w:val="20"/>
          <w:color w:val="auto"/>
        </w:rPr>
        <w:t>ir@tripadvisor.com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northamericapr@tripadvisor.com</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
      <w:numFmt w:val="bullet"/>
      <w:start w:val="1"/>
    </w:lvl>
    <w:lvl w:ilvl="1">
      <w:lvlJc w:val="left"/>
      <w:lvlText w:val="%2"/>
      <w:numFmt w:val="decimal"/>
      <w:start w:val="1"/>
    </w:lvl>
  </w:abstractNum>
  <w:abstractNum w:abstractNumId="11">
    <w:nsid w:val="66EF438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2026-05-07T06:12:20Z</dcterms:created>
  <dcterms:modified xsi:type="dcterms:W3CDTF">2026-05-07T06:12:20Z</dcterms:modified>
</cp:coreProperties>
</file>