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rip-20230930.htm"/>
      <w:bookmarkStart w:id="1" w:name="kstrip20230930"/>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Commission file number: 001-35362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80-0743202</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sz w:val="20"/>
        </w:rPr>
      </w:pPr>
      <w:r>
        <w:rPr>
          <w:rFonts w:ascii="Times New Roman" w:hAnsi="Times New Roman"/>
          <w:b/>
          <w:color w:val="000000"/>
          <w:sz w:val="20"/>
        </w:rPr>
        <w:t>400 1</w:t>
      </w:r>
      <w:r>
        <w:rPr>
          <w:rFonts w:ascii="Times New Roman" w:hAnsi="Times New Roman"/>
          <w:b/>
          <w:color w:val="000000"/>
          <w:sz w:val="13"/>
        </w:rPr>
        <w:t>st</w:t>
      </w:r>
      <w:r>
        <w:rPr>
          <w:rFonts w:ascii="Times New Roman" w:hAnsi="Times New Roman"/>
          <w:color w:val="000000"/>
          <w:sz w:val="20"/>
        </w:rPr>
        <w:t xml:space="preserve"> </w:t>
      </w:r>
      <w:r>
        <w:rPr>
          <w:rFonts w:ascii="Times New Roman" w:hAnsi="Times New Roman"/>
          <w:b/>
          <w:color w:val="000000"/>
          <w:sz w:val="20"/>
        </w:rPr>
        <w:t>Avenue</w:t>
      </w:r>
    </w:p>
    <w:p>
      <w:pPr>
        <w:pStyle w:val="TextBody"/>
        <w:bidi w:val="0"/>
        <w:jc w:val="center"/>
        <w:rPr>
          <w:rFonts w:ascii="Times New Roman" w:hAnsi="Times New Roman"/>
          <w:sz w:val="20"/>
        </w:rPr>
      </w:pPr>
      <w:r>
        <w:rPr>
          <w:rFonts w:ascii="Times New Roman" w:hAnsi="Times New Roman"/>
          <w:b/>
          <w:color w:val="000000"/>
          <w:sz w:val="20"/>
        </w:rPr>
        <w:t>Needham, MA</w:t>
      </w:r>
      <w:r>
        <w:rPr>
          <w:rFonts w:ascii="Times New Roman" w:hAnsi="Times New Roman"/>
          <w:color w:val="000000"/>
          <w:sz w:val="20"/>
        </w:rPr>
        <w:t xml:space="preserve"> </w:t>
      </w:r>
      <w:r>
        <w:rPr>
          <w:rFonts w:ascii="Times New Roman" w:hAnsi="Times New Roman"/>
          <w:b/>
          <w:color w:val="000000"/>
          <w:sz w:val="20"/>
        </w:rPr>
        <w:t xml:space="preserve">02494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(781) 800-5000</w:t>
      </w:r>
      <w:r>
        <w:rPr>
          <w:rFonts w:ascii="Times New Roman" w:hAnsi="Times New Roman"/>
          <w:color w:val="000000"/>
          <w:sz w:val="20"/>
        </w:rPr>
        <w:t xml:space="preserve"> </w:t>
      </w:r>
    </w:p>
    <w:p>
      <w:pPr>
        <w:pStyle w:val="TextBody"/>
        <w:bidi w:val="0"/>
        <w:spacing w:before="120" w:after="60"/>
        <w:jc w:val="left"/>
        <w:rPr>
          <w:rFonts w:ascii="Times New Roman" w:hAnsi="Times New Roman"/>
          <w:b w:val="false"/>
          <w:color w:val="000000"/>
          <w:sz w:val="18"/>
        </w:rPr>
      </w:pPr>
      <w:r>
        <w:rPr>
          <w:rFonts w:ascii="Times New Roman" w:hAnsi="Times New Roman"/>
          <w:b w:val="false"/>
          <w:color w:val="000000"/>
          <w:sz w:val="18"/>
        </w:rPr>
        <w:t>Securities registered pursuant to Section 12(b) of the Act:</w:t>
      </w:r>
    </w:p>
    <w:tbl>
      <w:tblPr>
        <w:tblW w:w="5913" w:type="dxa"/>
        <w:jc w:val="left"/>
        <w:tblInd w:w="0" w:type="dxa"/>
        <w:tblLayout w:type="fixed"/>
        <w:tblCellMar>
          <w:top w:w="28" w:type="dxa"/>
          <w:left w:w="28" w:type="dxa"/>
          <w:bottom w:w="28" w:type="dxa"/>
          <w:right w:w="28" w:type="dxa"/>
        </w:tblCellMar>
      </w:tblPr>
      <w:tblGrid>
        <w:gridCol w:w="1381"/>
        <w:gridCol w:w="1261"/>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Trading Symbol</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TRIP</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Nasdaq</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8"/>
        </w:rPr>
        <w:t>No ☒</w:t>
      </w:r>
      <w:r>
        <w:rPr>
          <w:rFonts w:ascii="Times New Roman" w:hAnsi="Times New Roman"/>
          <w:color w:val="000000"/>
          <w:sz w:val="20"/>
        </w:rPr>
        <w:t xml:space="preserve"> </w:t>
      </w:r>
    </w:p>
    <w:p>
      <w:pPr>
        <w:pStyle w:val="TextBody"/>
        <w:bidi w:val="0"/>
        <w:jc w:val="left"/>
        <w:rPr/>
      </w:pPr>
      <w:r>
        <w:rPr/>
        <w:t> </w:t>
      </w:r>
    </w:p>
    <w:tbl>
      <w:tblPr>
        <w:tblW w:w="7311" w:type="dxa"/>
        <w:jc w:val="left"/>
        <w:tblInd w:w="0" w:type="dxa"/>
        <w:tblLayout w:type="fixed"/>
        <w:tblCellMar>
          <w:top w:w="28" w:type="dxa"/>
          <w:left w:w="28" w:type="dxa"/>
          <w:bottom w:w="28" w:type="dxa"/>
          <w:right w:w="28" w:type="dxa"/>
        </w:tblCellMar>
      </w:tblPr>
      <w:tblGrid>
        <w:gridCol w:w="4186"/>
        <w:gridCol w:w="109"/>
        <w:gridCol w:w="3016"/>
      </w:tblGrid>
      <w:tr>
        <w:trPr/>
        <w:tc>
          <w:tcPr>
            <w:tcW w:w="4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pBdr>
                <w:bottom w:val="single" w:sz="8" w:space="1" w:color="000000"/>
              </w:pBdr>
              <w:bidi w:val="0"/>
              <w:spacing w:before="0" w:after="20"/>
              <w:jc w:val="center"/>
              <w:rPr>
                <w:rFonts w:ascii="Times New Roman" w:hAnsi="Times New Roman"/>
                <w:b w:val="false"/>
                <w:color w:val="000000"/>
                <w:sz w:val="16"/>
              </w:rPr>
            </w:pPr>
            <w:r>
              <w:rPr>
                <w:rFonts w:ascii="Times New Roman" w:hAnsi="Times New Roman"/>
                <w:b w:val="false"/>
                <w:color w:val="000000"/>
                <w:sz w:val="16"/>
              </w:rPr>
              <w:t>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val="false"/>
                <w:color w:val="000000"/>
                <w:sz w:val="16"/>
              </w:rPr>
            </w:pPr>
            <w:r>
              <w:rPr>
                <w:rFonts w:ascii="Times New Roman" w:hAnsi="Times New Roman"/>
                <w:b w:val="false"/>
                <w:color w:val="000000"/>
                <w:sz w:val="16"/>
              </w:rPr>
              <w:t>Outstanding Shares at November 1, 2023</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125,714,553</w:t>
            </w:r>
            <w:r>
              <w:rPr>
                <w:rFonts w:ascii="Times New Roman" w:hAnsi="Times New Roman"/>
                <w:color w:val="000000"/>
                <w:sz w:val="20"/>
              </w:rPr>
              <w:t> </w:t>
            </w:r>
            <w:r>
              <w:rPr>
                <w:rFonts w:ascii="Times New Roman" w:hAnsi="Times New Roman"/>
                <w:b w:val="false"/>
                <w:color w:val="000000"/>
                <w:sz w:val="20"/>
              </w:rPr>
              <w:t>shares</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Class B 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12,799,999</w:t>
            </w:r>
            <w:r>
              <w:rPr>
                <w:rFonts w:ascii="Times New Roman" w:hAnsi="Times New Roman"/>
                <w:color w:val="000000"/>
                <w:sz w:val="20"/>
              </w:rPr>
              <w:t> </w:t>
            </w:r>
            <w:r>
              <w:rPr>
                <w:rFonts w:ascii="Times New Roman" w:hAnsi="Times New Roman"/>
                <w:b w:val="false"/>
                <w:color w:val="000000"/>
                <w:sz w:val="20"/>
              </w:rPr>
              <w:t>shares</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 Ended September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105"/>
        <w:gridCol w:w="109"/>
        <w:gridCol w:w="991"/>
      </w:tblGrid>
      <w:tr>
        <w:trPr/>
        <w:tc>
          <w:tcPr>
            <w:tcW w:w="9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9105"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Part I—Financial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val="false"/>
                <w:color w:val="000000"/>
                <w:sz w:val="20"/>
              </w:rPr>
            </w:pPr>
            <w:r>
              <w:rPr>
                <w:rFonts w:ascii="Times New Roman" w:hAnsi="Times New Roman"/>
                <w:b w:val="false"/>
                <w:color w:val="000000"/>
                <w:sz w:val="20"/>
              </w:rPr>
              <w:t>Item 1. Unaudited Condensed Consolidated Financial Statements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statements_of_ope">
              <w:r>
                <w:rPr>
                  <w:rStyle w:val="InternetLink"/>
                  <w:rFonts w:ascii="Times New Roman" w:hAnsi="Times New Roman"/>
                  <w:b w:val="false"/>
                  <w:color w:val="0000FF"/>
                  <w:sz w:val="20"/>
                  <w:u w:val="single"/>
                </w:rPr>
                <w:t>Unaudited Condensed Consolidated Statements of Operations for the Three and Nine Months Ended September 30, 2023 and 2022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b w:val="false"/>
                <w:color w:val="000000"/>
                <w:sz w:val="20"/>
              </w:rPr>
            </w:pPr>
            <w:r>
              <w:rPr>
                <w:rFonts w:ascii="Times New Roman" w:hAnsi="Times New Roman"/>
                <w:b w:val="false"/>
                <w:color w:val="000000"/>
                <w:sz w:val="20"/>
              </w:rPr>
              <w:t>3</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statements_of_com">
              <w:r>
                <w:rPr>
                  <w:rStyle w:val="InternetLink"/>
                  <w:rFonts w:ascii="Times New Roman" w:hAnsi="Times New Roman"/>
                  <w:b w:val="false"/>
                  <w:color w:val="0000FF"/>
                  <w:sz w:val="20"/>
                  <w:u w:val="single"/>
                </w:rPr>
                <w:t>Unaudited Condensed Consolidated Statements of Comprehensive Income (Loss) for the Three and Nine Months Ended September 30, 2023 and 2022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b w:val="false"/>
                <w:color w:val="000000"/>
                <w:sz w:val="20"/>
              </w:rPr>
            </w:pPr>
            <w:r>
              <w:rPr>
                <w:rFonts w:ascii="Times New Roman" w:hAnsi="Times New Roman"/>
                <w:b w:val="false"/>
                <w:color w:val="000000"/>
                <w:sz w:val="20"/>
              </w:rPr>
              <w:t>4</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balance_sheets">
              <w:r>
                <w:rPr>
                  <w:rStyle w:val="InternetLink"/>
                  <w:rFonts w:ascii="Times New Roman" w:hAnsi="Times New Roman"/>
                  <w:b w:val="false"/>
                  <w:color w:val="0000FF"/>
                  <w:sz w:val="20"/>
                  <w:u w:val="single"/>
                </w:rPr>
                <w:t>Unaudited Condensed Consolidated Balance Sheets at September 30, 2023 and December 31, 2022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b w:val="false"/>
                <w:color w:val="000000"/>
                <w:sz w:val="20"/>
              </w:rPr>
            </w:pPr>
            <w:r>
              <w:rPr>
                <w:rFonts w:ascii="Times New Roman" w:hAnsi="Times New Roman"/>
                <w:b w:val="false"/>
                <w:color w:val="000000"/>
                <w:sz w:val="20"/>
              </w:rPr>
              <w:t>5</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statements_of_cha">
              <w:r>
                <w:rPr>
                  <w:rStyle w:val="InternetLink"/>
                  <w:rFonts w:ascii="Times New Roman" w:hAnsi="Times New Roman"/>
                  <w:b w:val="false"/>
                  <w:color w:val="0000FF"/>
                  <w:sz w:val="20"/>
                  <w:u w:val="single"/>
                </w:rPr>
                <w:t>Unaudited Condensed Consolidated Statements of Changes in Stockholders’ Equity for the Three and Nine Months Ended September 30, 2023 and 2022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b w:val="false"/>
                <w:color w:val="000000"/>
                <w:sz w:val="20"/>
              </w:rPr>
            </w:pPr>
            <w:r>
              <w:rPr>
                <w:rFonts w:ascii="Times New Roman" w:hAnsi="Times New Roman"/>
                <w:b w:val="false"/>
                <w:color w:val="000000"/>
                <w:sz w:val="20"/>
              </w:rPr>
              <w:t>6</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caseflow">
              <w:r>
                <w:rPr>
                  <w:rStyle w:val="InternetLink"/>
                  <w:rFonts w:ascii="Times New Roman" w:hAnsi="Times New Roman"/>
                  <w:b w:val="false"/>
                  <w:color w:val="0000FF"/>
                  <w:sz w:val="20"/>
                  <w:u w:val="single"/>
                </w:rPr>
                <w:t>Unaudited Condensed Consolidated Statements of Cash Flows for the Nine Months Ended September 30, 2023 and 2022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b w:val="false"/>
                <w:color w:val="000000"/>
                <w:sz w:val="20"/>
              </w:rPr>
            </w:pPr>
            <w:r>
              <w:rPr>
                <w:rFonts w:ascii="Times New Roman" w:hAnsi="Times New Roman"/>
                <w:b w:val="false"/>
                <w:color w:val="000000"/>
                <w:sz w:val="20"/>
              </w:rPr>
              <w:t>8</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financial_notes">
              <w:r>
                <w:rPr>
                  <w:rStyle w:val="InternetLink"/>
                  <w:rFonts w:ascii="Times New Roman" w:hAnsi="Times New Roman"/>
                  <w:b w:val="false"/>
                  <w:color w:val="0000FF"/>
                  <w:sz w:val="20"/>
                  <w:u w:val="single"/>
                </w:rPr>
                <w:t>Notes to Unaudited Condensed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2_management_discussion_and_anal">
              <w:r>
                <w:rPr>
                  <w:rStyle w:val="InternetLink"/>
                  <w:rFonts w:ascii="Times New Roman" w:hAnsi="Times New Roman"/>
                  <w:b w:val="false"/>
                  <w:color w:val="0000FF"/>
                  <w:sz w:val="20"/>
                  <w:u w:val="single"/>
                </w:rPr>
                <w:t>Item 2. 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_dis">
              <w:r>
                <w:rPr>
                  <w:rStyle w:val="InternetLink"/>
                  <w:rFonts w:ascii="Times New Roman" w:hAnsi="Times New Roman"/>
                  <w:b w:val="false"/>
                  <w:color w:val="0000FF"/>
                  <w:sz w:val="20"/>
                  <w:u w:val="single"/>
                </w:rPr>
                <w:t>Item 3. 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b w:val="false"/>
                  <w:color w:val="0000FF"/>
                  <w:sz w:val="20"/>
                  <w:u w:val="single"/>
                </w:rPr>
                <w:t>Item 4. 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FF"/>
                <w:sz w:val="20"/>
                <w:u w:val="single"/>
              </w:rPr>
            </w:pPr>
            <w:r>
              <w:rPr>
                <w:rFonts w:ascii="Times New Roman" w:hAnsi="Times New Roman"/>
                <w:b w:val="false"/>
                <w:color w:val="0000FF"/>
                <w:sz w:val="20"/>
                <w:u w:val="single"/>
              </w:rPr>
              <w:t>Part II—Other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b w:val="false"/>
                  <w:color w:val="0000FF"/>
                  <w:sz w:val="20"/>
                  <w:u w:val="single"/>
                </w:rPr>
                <w:t>Item 1. Legal Proceedings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Item 1A. 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2_unregistered_sales_of_equity_sec">
              <w:r>
                <w:rPr>
                  <w:rStyle w:val="InternetLink"/>
                  <w:rFonts w:ascii="Times New Roman" w:hAnsi="Times New Roman"/>
                  <w:b w:val="false"/>
                  <w:color w:val="0000FF"/>
                  <w:sz w:val="20"/>
                  <w:u w:val="single"/>
                </w:rPr>
                <w:t>Item 2. 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b w:val="false"/>
                  <w:color w:val="0000FF"/>
                  <w:sz w:val="20"/>
                  <w:u w:val="single"/>
                </w:rPr>
                <w:t>Item 3. 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b w:val="false"/>
                  <w:color w:val="0000FF"/>
                  <w:sz w:val="20"/>
                  <w:u w:val="single"/>
                </w:rPr>
                <w:t>Item 4. Mine Safety Disclosures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b w:val="false"/>
                  <w:color w:val="0000FF"/>
                  <w:sz w:val="20"/>
                  <w:u w:val="single"/>
                </w:rPr>
                <w:t>Item 5. 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b w:val="false"/>
                  <w:color w:val="0000FF"/>
                  <w:sz w:val="20"/>
                  <w:u w:val="single"/>
                </w:rPr>
                <w:t>Item 6. Exhibits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r>
    </w:tbl>
    <w:p>
      <w:pPr>
        <w:pStyle w:val="TextBody"/>
        <w:bidi w:val="0"/>
        <w:jc w:val="left"/>
        <w:rPr/>
      </w:pPr>
      <w:r>
        <w:rPr/>
        <w:t> </w:t>
      </w:r>
    </w:p>
    <w:p>
      <w:pPr>
        <w:pStyle w:val="TextBody"/>
        <w:bidi w:val="0"/>
        <w:jc w:val="left"/>
        <w:rPr/>
      </w:pPr>
      <w:r>
        <w:rPr/>
        <w:t> </w:t>
      </w:r>
    </w:p>
    <w:p>
      <w:pPr>
        <w:pStyle w:val="TextBody"/>
        <w:bidi w:val="0"/>
        <w:spacing w:before="480" w:after="283"/>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Unaudited Condensed Consolidated Financial Statements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 w:name="unaudited_consolidated_statements_of_ope"/>
      <w:bookmarkEnd w:id="2"/>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794"/>
        <w:gridCol w:w="146"/>
        <w:gridCol w:w="211"/>
        <w:gridCol w:w="466"/>
        <w:gridCol w:w="166"/>
        <w:gridCol w:w="146"/>
        <w:gridCol w:w="211"/>
        <w:gridCol w:w="466"/>
        <w:gridCol w:w="166"/>
        <w:gridCol w:w="146"/>
        <w:gridCol w:w="211"/>
        <w:gridCol w:w="571"/>
        <w:gridCol w:w="166"/>
        <w:gridCol w:w="146"/>
        <w:gridCol w:w="211"/>
        <w:gridCol w:w="571"/>
        <w:gridCol w:w="411"/>
      </w:tblGrid>
      <w:tr>
        <w:trPr/>
        <w:tc>
          <w:tcPr>
            <w:tcW w:w="5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57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(Note 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w:t>
            </w:r>
          </w:p>
        </w:tc>
        <w:tc>
          <w:tcPr>
            <w:tcW w:w="411" w:type="dxa"/>
            <w:tcBorders/>
            <w:shd w:fill="FFFFFF" w:val="clear"/>
            <w:vAlign w:val="center"/>
          </w:tcPr>
          <w:p>
            <w:pPr>
              <w:pStyle w:val="TableContents"/>
              <w:bidi w:val="0"/>
              <w:spacing w:before="0" w:after="283"/>
              <w:jc w:val="left"/>
              <w:rPr/>
            </w:pPr>
            <w:r>
              <w:rPr/>
              <w:t> </w:t>
            </w:r>
          </w:p>
        </w:tc>
      </w:tr>
      <w:tr>
        <w:trPr/>
        <w:tc>
          <w:tcPr>
            <w:tcW w:w="57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7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Costs and expenses: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revenue (1) (exclusive of depreciation and amortization as shown separately below)</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and marketing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Technology and content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Restructuring and other related reorganization costs (Note 5)</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411" w:type="dxa"/>
            <w:tcBorders/>
            <w:shd w:fill="FFFFFF" w:val="clear"/>
            <w:vAlign w:val="center"/>
          </w:tcPr>
          <w:p>
            <w:pPr>
              <w:pStyle w:val="TableContents"/>
              <w:bidi w:val="0"/>
              <w:spacing w:before="0" w:after="283"/>
              <w:jc w:val="left"/>
              <w:rPr/>
            </w:pPr>
            <w:r>
              <w:rPr/>
              <w:t> </w:t>
            </w:r>
          </w:p>
        </w:tc>
      </w:tr>
      <w:tr>
        <w:trPr/>
        <w:tc>
          <w:tcPr>
            <w:tcW w:w="57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7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7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(Provision) benefit for income taxes (Note 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7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7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(loss) per share attributable to common stockholders (Note 12):</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411" w:type="dxa"/>
            <w:tcBorders/>
            <w:shd w:fill="FFFFFF" w:val="clear"/>
            <w:vAlign w:val="center"/>
          </w:tcPr>
          <w:p>
            <w:pPr>
              <w:pStyle w:val="TableContents"/>
              <w:bidi w:val="0"/>
              <w:spacing w:before="0" w:after="283"/>
              <w:jc w:val="left"/>
              <w:rPr/>
            </w:pPr>
            <w:r>
              <w:rPr/>
              <w:t> </w:t>
            </w:r>
          </w:p>
        </w:tc>
      </w:tr>
      <w:tr>
        <w:trPr/>
        <w:tc>
          <w:tcPr>
            <w:tcW w:w="57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common shares outstanding (Note 12):</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94"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7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 Includes stock-based compensation expense as follows (Note 10):</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Technology and content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7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41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Times New Roman" w:hAnsi="Times New Roman"/>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 w:name="unaudited_consolidated_statements_of_com"/>
      <w:bookmarkEnd w:id="3"/>
      <w:r>
        <w:rPr>
          <w:rFonts w:ascii="Times New Roman" w:hAnsi="Times New Roman"/>
          <w:b/>
          <w:color w:val="000000"/>
          <w:sz w:val="20"/>
        </w:rPr>
        <w:t>UNAUDITED CONDENSED CONSOLIDATED STATEMENTS OF COMPREHENSIVE INCOME (LOSS)</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center"/>
        <w:rPr/>
      </w:pPr>
      <w:r>
        <w:rPr/>
        <w:t> </w:t>
      </w:r>
    </w:p>
    <w:tbl>
      <w:tblPr>
        <w:tblW w:w="8853" w:type="dxa"/>
        <w:jc w:val="left"/>
        <w:tblInd w:w="0" w:type="dxa"/>
        <w:tblLayout w:type="fixed"/>
        <w:tblCellMar>
          <w:top w:w="28" w:type="dxa"/>
          <w:left w:w="28" w:type="dxa"/>
          <w:bottom w:w="28" w:type="dxa"/>
          <w:right w:w="28" w:type="dxa"/>
        </w:tblCellMar>
      </w:tblPr>
      <w:tblGrid>
        <w:gridCol w:w="4761"/>
        <w:gridCol w:w="346"/>
        <w:gridCol w:w="221"/>
        <w:gridCol w:w="394"/>
        <w:gridCol w:w="174"/>
        <w:gridCol w:w="153"/>
        <w:gridCol w:w="221"/>
        <w:gridCol w:w="394"/>
        <w:gridCol w:w="166"/>
        <w:gridCol w:w="146"/>
        <w:gridCol w:w="211"/>
        <w:gridCol w:w="376"/>
        <w:gridCol w:w="166"/>
        <w:gridCol w:w="146"/>
        <w:gridCol w:w="211"/>
        <w:gridCol w:w="376"/>
        <w:gridCol w:w="391"/>
      </w:tblGrid>
      <w:tr>
        <w:trPr/>
        <w:tc>
          <w:tcPr>
            <w:tcW w:w="47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5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476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3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391" w:type="dxa"/>
            <w:tcBorders/>
            <w:shd w:fill="CFF0FC" w:val="clear"/>
            <w:vAlign w:val="center"/>
          </w:tcPr>
          <w:p>
            <w:pPr>
              <w:pStyle w:val="TableContents"/>
              <w:bidi w:val="0"/>
              <w:spacing w:before="0" w:after="283"/>
              <w:jc w:val="left"/>
              <w:rPr/>
            </w:pPr>
            <w:r>
              <w:rPr/>
              <w:t> </w:t>
            </w:r>
          </w:p>
        </w:tc>
      </w:tr>
      <w:tr>
        <w:trPr/>
        <w:tc>
          <w:tcPr>
            <w:tcW w:w="4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 net of tax:</w:t>
            </w:r>
          </w:p>
        </w:tc>
        <w:tc>
          <w:tcPr>
            <w:tcW w:w="346"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7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adjustments, net of tax (1)</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comprehensive income (loss), net of tax</w:t>
            </w:r>
          </w:p>
        </w:tc>
        <w:tc>
          <w:tcPr>
            <w:tcW w:w="3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income (loss)</w:t>
            </w:r>
          </w:p>
        </w:tc>
        <w:tc>
          <w:tcPr>
            <w:tcW w:w="3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0" w:after="200"/>
        <w:jc w:val="left"/>
        <w:rPr>
          <w:rFonts w:ascii="Times New Roman" w:hAnsi="Times New Roman"/>
          <w:sz w:val="20"/>
        </w:rPr>
      </w:pPr>
      <w:r>
        <w:rPr>
          <w:rFonts w:ascii="Times New Roman" w:hAnsi="Times New Roman"/>
          <w:b w:val="false"/>
          <w:color w:val="000000"/>
          <w:sz w:val="18"/>
        </w:rPr>
        <w:t>(1)</w:t>
      </w:r>
      <w:r>
        <w:rPr>
          <w:rFonts w:ascii="Times New Roman" w:hAnsi="Times New Roman"/>
          <w:color w:val="000000"/>
          <w:sz w:val="20"/>
        </w:rPr>
        <w:t xml:space="preserve"> </w:t>
      </w:r>
      <w:r>
        <w:rPr>
          <w:rFonts w:ascii="Times New Roman" w:hAnsi="Times New Roman"/>
          <w:b w:val="false"/>
          <w:color w:val="000000"/>
          <w:sz w:val="18"/>
        </w:rPr>
        <w:t>Deferred income tax liabilities related to these amounts are not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unaudited_consolidated_balance_sheets"/>
      <w:bookmarkEnd w:id="4"/>
      <w:r>
        <w:rPr>
          <w:rFonts w:ascii="Times New Roman" w:hAnsi="Times New Roman"/>
          <w:b/>
          <w:color w:val="000000"/>
          <w:sz w:val="20"/>
        </w:rPr>
        <w:t>UNAUDITED 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number of shares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11"/>
        <w:gridCol w:w="146"/>
        <w:gridCol w:w="281"/>
        <w:gridCol w:w="763"/>
        <w:gridCol w:w="166"/>
        <w:gridCol w:w="146"/>
        <w:gridCol w:w="268"/>
        <w:gridCol w:w="731"/>
        <w:gridCol w:w="593"/>
      </w:tblGrid>
      <w:tr>
        <w:trPr/>
        <w:tc>
          <w:tcPr>
            <w:tcW w:w="7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vAlign w:val="center"/>
          </w:tcPr>
          <w:p>
            <w:pPr>
              <w:pStyle w:val="TableContents"/>
              <w:bidi w:val="0"/>
              <w:spacing w:before="0" w:after="283"/>
              <w:jc w:val="center"/>
              <w:rPr/>
            </w:pPr>
            <w:r>
              <w:rPr/>
              <w:t> </w:t>
            </w:r>
          </w:p>
        </w:tc>
      </w:tr>
      <w:tr>
        <w:trPr/>
        <w:tc>
          <w:tcPr>
            <w:tcW w:w="7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 (Note 4)</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Accounts receivable and contract assets, net (allowance for expected credit losses of $24</w:t>
            </w:r>
            <w:r>
              <w:rPr>
                <w:rFonts w:ascii="Times New Roman" w:hAnsi="Times New Roman"/>
                <w:color w:val="000000"/>
                <w:sz w:val="20"/>
              </w:rPr>
              <w:t> </w:t>
            </w:r>
            <w:r>
              <w:rPr>
                <w:rFonts w:ascii="Times New Roman" w:hAnsi="Times New Roman"/>
                <w:b w:val="false"/>
                <w:color w:val="000000"/>
                <w:sz w:val="20"/>
              </w:rPr>
              <w:t>and $28, respectively) (Note 4)</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Property and equipment, net of accumulated depreciation of $537</w:t>
            </w:r>
            <w:r>
              <w:rPr>
                <w:rFonts w:ascii="Times New Roman" w:hAnsi="Times New Roman"/>
                <w:color w:val="000000"/>
                <w:sz w:val="20"/>
              </w:rPr>
              <w:t> </w:t>
            </w:r>
            <w:r>
              <w:rPr>
                <w:rFonts w:ascii="Times New Roman" w:hAnsi="Times New Roman"/>
                <w:b w:val="false"/>
                <w:color w:val="000000"/>
                <w:sz w:val="20"/>
              </w:rPr>
              <w:t>and $512, respectively</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Intangible assets, net of accumulated amortization of $202</w:t>
            </w:r>
            <w:r>
              <w:rPr>
                <w:rFonts w:ascii="Times New Roman" w:hAnsi="Times New Roman"/>
                <w:color w:val="000000"/>
                <w:sz w:val="20"/>
              </w:rPr>
              <w:t> </w:t>
            </w:r>
            <w:r>
              <w:rPr>
                <w:rFonts w:ascii="Times New Roman" w:hAnsi="Times New Roman"/>
                <w:b w:val="false"/>
                <w:color w:val="000000"/>
                <w:sz w:val="20"/>
              </w:rPr>
              <w:t>and $198, respectively</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Non-marketable investments (Note 4)</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income taxes, net</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Other long-term assets, net of allowance for credit losses of $10</w:t>
            </w:r>
            <w:r>
              <w:rPr>
                <w:rFonts w:ascii="Times New Roman" w:hAnsi="Times New Roman"/>
                <w:color w:val="000000"/>
                <w:sz w:val="20"/>
              </w:rPr>
              <w:t> </w:t>
            </w:r>
            <w:r>
              <w:rPr>
                <w:rFonts w:ascii="Times New Roman" w:hAnsi="Times New Roman"/>
                <w:b w:val="false"/>
                <w:color w:val="000000"/>
                <w:sz w:val="20"/>
              </w:rPr>
              <w:t>and $10, respectively (Note 4, Note 8)</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2,569</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1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merchant payables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 (Note 3)</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taxes payable (Note 8)</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 (Note 5)</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debt (Note 6)</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Finance lease obligation, net of current portion</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income taxes, net</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long-term liabilities (Note 7)</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9)</w:t>
            </w:r>
          </w:p>
        </w:tc>
        <w:tc>
          <w:tcPr>
            <w:tcW w:w="146" w:type="dxa"/>
            <w:tcBorders/>
            <w:shd w:fill="CFF0FC" w:val="clear"/>
            <w:vAlign w:val="center"/>
          </w:tcPr>
          <w:p>
            <w:pPr>
              <w:pStyle w:val="TableContents"/>
              <w:bidi w:val="0"/>
              <w:spacing w:before="0" w:after="283"/>
              <w:jc w:val="left"/>
              <w:rPr/>
            </w:pPr>
            <w:r>
              <w:rPr/>
              <w:t> </w:t>
            </w:r>
          </w:p>
        </w:tc>
        <w:tc>
          <w:tcPr>
            <w:tcW w:w="10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 (Note 11)</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$0.001</w:t>
            </w:r>
            <w:r>
              <w:rPr>
                <w:rFonts w:ascii="Times New Roman" w:hAnsi="Times New Roman"/>
                <w:color w:val="000000"/>
                <w:sz w:val="20"/>
              </w:rPr>
              <w:t> </w:t>
            </w:r>
            <w:r>
              <w:rPr>
                <w:rFonts w:ascii="Times New Roman" w:hAnsi="Times New Roman"/>
                <w:b w:val="false"/>
                <w:color w:val="000000"/>
                <w:sz w:val="20"/>
              </w:rPr>
              <w:t>par value</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ind w:left="0" w:right="0" w:firstLine="400"/>
              <w:jc w:val="left"/>
              <w:rPr/>
            </w:pPr>
            <w:r>
              <w:rPr/>
              <w:t> </w:t>
            </w:r>
          </w:p>
        </w:tc>
      </w:tr>
      <w:tr>
        <w:trPr/>
        <w:tc>
          <w:tcPr>
            <w:tcW w:w="711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Authorized shares: 100,000,000</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400"/>
              <w:jc w:val="right"/>
              <w:rPr/>
            </w:pPr>
            <w:r>
              <w:rPr/>
              <w:t> </w:t>
            </w:r>
          </w:p>
        </w:tc>
      </w:tr>
      <w:tr>
        <w:trPr/>
        <w:tc>
          <w:tcPr>
            <w:tcW w:w="7111"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Shares issued and outstanding: 0</w:t>
            </w:r>
            <w:r>
              <w:rPr>
                <w:rFonts w:ascii="Times New Roman" w:hAnsi="Times New Roman"/>
                <w:color w:val="000000"/>
                <w:sz w:val="20"/>
              </w:rPr>
              <w:t> </w:t>
            </w:r>
            <w:r>
              <w:rPr>
                <w:rFonts w:ascii="Times New Roman" w:hAnsi="Times New Roman"/>
                <w:b w:val="false"/>
                <w:color w:val="000000"/>
                <w:sz w:val="20"/>
              </w:rPr>
              <w:t>and 0, respectively</w:t>
            </w:r>
          </w:p>
        </w:tc>
        <w:tc>
          <w:tcPr>
            <w:tcW w:w="146" w:type="dxa"/>
            <w:tcBorders/>
            <w:shd w:fill="CFF0FC" w:val="clear"/>
            <w:vAlign w:val="center"/>
          </w:tcPr>
          <w:p>
            <w:pPr>
              <w:pStyle w:val="TableContents"/>
              <w:bidi w:val="0"/>
              <w:spacing w:before="0" w:after="283"/>
              <w:jc w:val="left"/>
              <w:rPr/>
            </w:pPr>
            <w:r>
              <w:rPr/>
              <w:t> </w:t>
            </w:r>
          </w:p>
        </w:tc>
        <w:tc>
          <w:tcPr>
            <w:tcW w:w="10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$0.001</w:t>
            </w:r>
            <w:r>
              <w:rPr>
                <w:rFonts w:ascii="Times New Roman" w:hAnsi="Times New Roman"/>
                <w:color w:val="000000"/>
                <w:sz w:val="20"/>
              </w:rPr>
              <w:t> </w:t>
            </w:r>
            <w:r>
              <w:rPr>
                <w:rFonts w:ascii="Times New Roman" w:hAnsi="Times New Roman"/>
                <w:b w:val="false"/>
                <w:color w:val="000000"/>
                <w:sz w:val="20"/>
              </w:rPr>
              <w:t>par value</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71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Authorized shares: 1,600,000,000</w:t>
            </w:r>
          </w:p>
        </w:tc>
        <w:tc>
          <w:tcPr>
            <w:tcW w:w="146" w:type="dxa"/>
            <w:tcBorders/>
            <w:shd w:fill="CFF0FC" w:val="clear"/>
            <w:vAlign w:val="center"/>
          </w:tcPr>
          <w:p>
            <w:pPr>
              <w:pStyle w:val="TableContents"/>
              <w:bidi w:val="0"/>
              <w:spacing w:before="0" w:after="283"/>
              <w:jc w:val="left"/>
              <w:rPr/>
            </w:pPr>
            <w:r>
              <w:rPr/>
              <w:t> </w:t>
            </w:r>
          </w:p>
        </w:tc>
        <w:tc>
          <w:tcPr>
            <w:tcW w:w="10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400"/>
              <w:jc w:val="right"/>
              <w:rPr/>
            </w:pPr>
            <w:r>
              <w:rPr/>
              <w:t> </w:t>
            </w:r>
          </w:p>
        </w:tc>
      </w:tr>
      <w:tr>
        <w:trPr/>
        <w:tc>
          <w:tcPr>
            <w:tcW w:w="7111"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Shares issued: 149,181,201</w:t>
            </w:r>
            <w:r>
              <w:rPr>
                <w:rFonts w:ascii="Times New Roman" w:hAnsi="Times New Roman"/>
                <w:color w:val="000000"/>
                <w:sz w:val="20"/>
              </w:rPr>
              <w:t> </w:t>
            </w:r>
            <w:r>
              <w:rPr>
                <w:rFonts w:ascii="Times New Roman" w:hAnsi="Times New Roman"/>
                <w:b w:val="false"/>
                <w:color w:val="000000"/>
                <w:sz w:val="20"/>
              </w:rPr>
              <w:t>and 146,891,538, respectively</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400"/>
              <w:jc w:val="right"/>
              <w:rPr/>
            </w:pPr>
            <w:r>
              <w:rPr/>
              <w:t> </w:t>
            </w:r>
          </w:p>
        </w:tc>
      </w:tr>
      <w:tr>
        <w:trPr/>
        <w:tc>
          <w:tcPr>
            <w:tcW w:w="7111"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Shares outstanding: 125,611,858</w:t>
            </w:r>
            <w:r>
              <w:rPr>
                <w:rFonts w:ascii="Times New Roman" w:hAnsi="Times New Roman"/>
                <w:color w:val="000000"/>
                <w:sz w:val="20"/>
              </w:rPr>
              <w:t> </w:t>
            </w:r>
            <w:r>
              <w:rPr>
                <w:rFonts w:ascii="Times New Roman" w:hAnsi="Times New Roman"/>
                <w:b w:val="false"/>
                <w:color w:val="000000"/>
                <w:sz w:val="20"/>
              </w:rPr>
              <w:t>and 128,046,924, respectively</w:t>
            </w:r>
          </w:p>
        </w:tc>
        <w:tc>
          <w:tcPr>
            <w:tcW w:w="146" w:type="dxa"/>
            <w:tcBorders/>
            <w:shd w:fill="CFF0FC" w:val="clear"/>
            <w:vAlign w:val="center"/>
          </w:tcPr>
          <w:p>
            <w:pPr>
              <w:pStyle w:val="TableContents"/>
              <w:bidi w:val="0"/>
              <w:spacing w:before="0" w:after="283"/>
              <w:jc w:val="left"/>
              <w:rPr/>
            </w:pPr>
            <w:r>
              <w:rPr/>
              <w:t> </w:t>
            </w:r>
          </w:p>
        </w:tc>
        <w:tc>
          <w:tcPr>
            <w:tcW w:w="10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Class B common stock, $0.001</w:t>
            </w:r>
            <w:r>
              <w:rPr>
                <w:rFonts w:ascii="Times New Roman" w:hAnsi="Times New Roman"/>
                <w:color w:val="000000"/>
                <w:sz w:val="20"/>
              </w:rPr>
              <w:t> </w:t>
            </w:r>
            <w:r>
              <w:rPr>
                <w:rFonts w:ascii="Times New Roman" w:hAnsi="Times New Roman"/>
                <w:b w:val="false"/>
                <w:color w:val="000000"/>
                <w:sz w:val="20"/>
              </w:rPr>
              <w:t>par value</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71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Authorized shares: 400,000,000</w:t>
            </w:r>
          </w:p>
        </w:tc>
        <w:tc>
          <w:tcPr>
            <w:tcW w:w="146" w:type="dxa"/>
            <w:tcBorders/>
            <w:shd w:fill="CFF0FC" w:val="clear"/>
            <w:vAlign w:val="center"/>
          </w:tcPr>
          <w:p>
            <w:pPr>
              <w:pStyle w:val="TableContents"/>
              <w:bidi w:val="0"/>
              <w:spacing w:before="0" w:after="283"/>
              <w:jc w:val="left"/>
              <w:rPr/>
            </w:pPr>
            <w:r>
              <w:rPr/>
              <w:t> </w:t>
            </w:r>
          </w:p>
        </w:tc>
        <w:tc>
          <w:tcPr>
            <w:tcW w:w="10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400"/>
              <w:jc w:val="right"/>
              <w:rPr/>
            </w:pPr>
            <w:r>
              <w:rPr/>
              <w:t> </w:t>
            </w:r>
          </w:p>
        </w:tc>
      </w:tr>
      <w:tr>
        <w:trPr/>
        <w:tc>
          <w:tcPr>
            <w:tcW w:w="7111"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Shares issued and outstanding: 12,799,999</w:t>
            </w:r>
            <w:r>
              <w:rPr>
                <w:rFonts w:ascii="Times New Roman" w:hAnsi="Times New Roman"/>
                <w:color w:val="000000"/>
                <w:sz w:val="20"/>
              </w:rPr>
              <w:t> </w:t>
            </w:r>
            <w:r>
              <w:rPr>
                <w:rFonts w:ascii="Times New Roman" w:hAnsi="Times New Roman"/>
                <w:b w:val="false"/>
                <w:color w:val="000000"/>
                <w:sz w:val="20"/>
              </w:rPr>
              <w:t>and 12,799,999, respectively</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59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11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Treasury stock-common stock, at cost, 23,569,343</w:t>
            </w:r>
            <w:r>
              <w:rPr>
                <w:rFonts w:ascii="Times New Roman" w:hAnsi="Times New Roman"/>
                <w:color w:val="000000"/>
                <w:sz w:val="20"/>
              </w:rPr>
              <w:t> </w:t>
            </w:r>
            <w:r>
              <w:rPr>
                <w:rFonts w:ascii="Times New Roman" w:hAnsi="Times New Roman"/>
                <w:b w:val="false"/>
                <w:color w:val="000000"/>
                <w:sz w:val="20"/>
              </w:rPr>
              <w:t>and 18,844,614</w:t>
            </w:r>
            <w:r>
              <w:rPr>
                <w:rFonts w:ascii="Times New Roman" w:hAnsi="Times New Roman"/>
                <w:color w:val="000000"/>
                <w:sz w:val="20"/>
              </w:rPr>
              <w:t> </w:t>
            </w:r>
            <w:r>
              <w:rPr>
                <w:rFonts w:ascii="Times New Roman" w:hAnsi="Times New Roman"/>
                <w:b w:val="false"/>
                <w:color w:val="000000"/>
                <w:sz w:val="20"/>
              </w:rPr>
              <w:t>shares, respectively</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2,569</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Times New Roman" w:hAnsi="Times New Roman"/>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unaudited_consolidated_statements_of_cha"/>
      <w:bookmarkEnd w:id="5"/>
      <w:r>
        <w:rPr>
          <w:rFonts w:ascii="Times New Roman" w:hAnsi="Times New Roman"/>
          <w:b/>
          <w:color w:val="000000"/>
          <w:sz w:val="19"/>
        </w:rPr>
        <w:t>UNAUDITED CONDENSED CONSOLIDATED STATEMENTS OF CHANGES IN STOCKHOLDERS’ EQUITY</w:t>
      </w:r>
      <w:r>
        <w:rPr>
          <w:rFonts w:ascii="Times New Roman" w:hAnsi="Times New Roman"/>
          <w:color w:val="000000"/>
          <w:sz w:val="20"/>
        </w:rPr>
        <w:t xml:space="preserve"> </w:t>
      </w:r>
    </w:p>
    <w:p>
      <w:pPr>
        <w:pStyle w:val="TextBody"/>
        <w:bidi w:val="0"/>
        <w:spacing w:before="0" w:after="6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tbl>
      <w:tblPr>
        <w:tblW w:w="13626"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46"/>
        <w:gridCol w:w="146"/>
        <w:gridCol w:w="420"/>
        <w:gridCol w:w="751"/>
        <w:gridCol w:w="166"/>
        <w:gridCol w:w="146"/>
        <w:gridCol w:w="146"/>
        <w:gridCol w:w="1096"/>
        <w:gridCol w:w="166"/>
        <w:gridCol w:w="146"/>
        <w:gridCol w:w="211"/>
        <w:gridCol w:w="481"/>
        <w:gridCol w:w="166"/>
        <w:gridCol w:w="146"/>
        <w:gridCol w:w="211"/>
        <w:gridCol w:w="42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18"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148,642,645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12,799,999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(23,569,343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781</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20"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related to exercises of options and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Withholding taxes on net share settlements of equity awards</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149,181,201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12,799,999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(23,569,343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pPr>
      <w:r>
        <w:rPr/>
        <w:t> </w:t>
      </w:r>
    </w:p>
    <w:tbl>
      <w:tblPr>
        <w:tblW w:w="13646"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66"/>
        <w:gridCol w:w="146"/>
        <w:gridCol w:w="420"/>
        <w:gridCol w:w="751"/>
        <w:gridCol w:w="166"/>
        <w:gridCol w:w="146"/>
        <w:gridCol w:w="146"/>
        <w:gridCol w:w="1096"/>
        <w:gridCol w:w="166"/>
        <w:gridCol w:w="146"/>
        <w:gridCol w:w="211"/>
        <w:gridCol w:w="481"/>
        <w:gridCol w:w="166"/>
        <w:gridCol w:w="146"/>
        <w:gridCol w:w="211"/>
        <w:gridCol w:w="42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38"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146,891,538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12,799,999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(18,844,614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861</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20"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related to exercises of options and 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2,289,663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Repurchase of common stock (Note 11)</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(4,724,729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Withholding taxes on net share settlements of equity awards</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149,181,201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12,799,999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(23,569,343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19"/>
        </w:rPr>
      </w:pPr>
      <w:r>
        <w:rPr>
          <w:rFonts w:ascii="Times New Roman" w:hAnsi="Times New Roman"/>
          <w:b w:val="false"/>
          <w:color w:val="000000"/>
          <w:sz w:val="19"/>
        </w:rPr>
        <w:t>The accompanying notes are an integral part of these unaudited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UNAUDITED CONDENSED 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tbl>
      <w:tblPr>
        <w:tblW w:w="13626"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46"/>
        <w:gridCol w:w="146"/>
        <w:gridCol w:w="356"/>
        <w:gridCol w:w="815"/>
        <w:gridCol w:w="166"/>
        <w:gridCol w:w="146"/>
        <w:gridCol w:w="146"/>
        <w:gridCol w:w="1096"/>
        <w:gridCol w:w="166"/>
        <w:gridCol w:w="146"/>
        <w:gridCol w:w="211"/>
        <w:gridCol w:w="481"/>
        <w:gridCol w:w="166"/>
        <w:gridCol w:w="146"/>
        <w:gridCol w:w="211"/>
        <w:gridCol w:w="42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18"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145,847,721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12,799,999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(18,844,614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related to exercises of options and vesting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Withholding taxes on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146,591,387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12,799,999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(18,844,614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pPr>
      <w:r>
        <w:rPr/>
        <w:t> </w:t>
      </w:r>
    </w:p>
    <w:tbl>
      <w:tblPr>
        <w:tblW w:w="13626"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46"/>
        <w:gridCol w:w="146"/>
        <w:gridCol w:w="356"/>
        <w:gridCol w:w="815"/>
        <w:gridCol w:w="166"/>
        <w:gridCol w:w="146"/>
        <w:gridCol w:w="146"/>
        <w:gridCol w:w="1096"/>
        <w:gridCol w:w="166"/>
        <w:gridCol w:w="146"/>
        <w:gridCol w:w="211"/>
        <w:gridCol w:w="481"/>
        <w:gridCol w:w="166"/>
        <w:gridCol w:w="146"/>
        <w:gridCol w:w="211"/>
        <w:gridCol w:w="42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18"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Nine months ended 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144,656,649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12,799,999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(18,844,614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789</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related to exercises of options and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1,934,738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Withholding taxes on net share settlements of equity awards</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146,591,387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12,799,999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(18,844,614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color w:val="000000"/>
          <w:sz w:val="19"/>
        </w:rPr>
      </w:pPr>
      <w:r>
        <w:rPr>
          <w:rFonts w:ascii="Times New Roman" w:hAnsi="Times New Roman"/>
          <w:b w:val="false"/>
          <w:color w:val="000000"/>
          <w:sz w:val="19"/>
        </w:rPr>
        <w:t>The accompanying notes are an integral part of these unaudited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unaudited_consolidated_caseflow"/>
      <w:bookmarkEnd w:id="6"/>
      <w:r>
        <w:rPr>
          <w:rFonts w:ascii="Times New Roman" w:hAnsi="Times New Roman"/>
          <w:b/>
          <w:color w:val="000000"/>
          <w:sz w:val="20"/>
        </w:rPr>
        <w:t>UNAUDITED 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9"/>
        <w:gridCol w:w="146"/>
        <w:gridCol w:w="274"/>
        <w:gridCol w:w="745"/>
        <w:gridCol w:w="216"/>
        <w:gridCol w:w="190"/>
        <w:gridCol w:w="274"/>
        <w:gridCol w:w="745"/>
        <w:gridCol w:w="616"/>
      </w:tblGrid>
      <w:tr>
        <w:trPr/>
        <w:tc>
          <w:tcPr>
            <w:tcW w:w="6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9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center"/>
              <w:rPr/>
            </w:pPr>
            <w:r>
              <w:rPr/>
              <w:t> </w:t>
            </w:r>
          </w:p>
        </w:tc>
        <w:tc>
          <w:tcPr>
            <w:tcW w:w="216" w:type="dxa"/>
            <w:tcBorders/>
            <w:shd w:fill="CFF0FC" w:val="clear"/>
            <w:vAlign w:val="center"/>
          </w:tcPr>
          <w:p>
            <w:pPr>
              <w:pStyle w:val="TableContents"/>
              <w:bidi w:val="0"/>
              <w:spacing w:before="0" w:after="283"/>
              <w:jc w:val="center"/>
              <w:rPr/>
            </w:pPr>
            <w:r>
              <w:rPr/>
              <w:t> </w:t>
            </w:r>
          </w:p>
        </w:tc>
        <w:tc>
          <w:tcPr>
            <w:tcW w:w="190" w:type="dxa"/>
            <w:tcBorders/>
            <w:shd w:fill="CFF0FC" w:val="clear"/>
            <w:vAlign w:val="center"/>
          </w:tcPr>
          <w:p>
            <w:pPr>
              <w:pStyle w:val="TableContents"/>
              <w:bidi w:val="0"/>
              <w:spacing w:before="0" w:after="283"/>
              <w:jc w:val="center"/>
              <w:rPr/>
            </w:pPr>
            <w:r>
              <w:rPr/>
              <w:t> </w:t>
            </w:r>
          </w:p>
        </w:tc>
        <w:tc>
          <w:tcPr>
            <w:tcW w:w="1019" w:type="dxa"/>
            <w:gridSpan w:val="2"/>
            <w:tcBorders/>
            <w:shd w:fill="CFF0FC" w:val="clear"/>
            <w:vAlign w:val="center"/>
          </w:tcPr>
          <w:p>
            <w:pPr>
              <w:pStyle w:val="TableContents"/>
              <w:bidi w:val="0"/>
              <w:spacing w:before="0" w:after="283"/>
              <w:jc w:val="center"/>
              <w:rPr/>
            </w:pPr>
            <w:r>
              <w:rPr/>
              <w:t> </w:t>
            </w:r>
          </w:p>
        </w:tc>
        <w:tc>
          <w:tcPr>
            <w:tcW w:w="616" w:type="dxa"/>
            <w:tcBorders/>
            <w:shd w:fill="CFF0FC" w:val="clear"/>
            <w:vAlign w:val="center"/>
          </w:tcPr>
          <w:p>
            <w:pPr>
              <w:pStyle w:val="TableContents"/>
              <w:bidi w:val="0"/>
              <w:spacing w:before="0" w:after="283"/>
              <w:jc w:val="center"/>
              <w:rPr/>
            </w:pPr>
            <w:r>
              <w:rPr/>
              <w:t> </w:t>
            </w:r>
          </w:p>
        </w:tc>
      </w:tr>
      <w:tr>
        <w:trPr/>
        <w:tc>
          <w:tcPr>
            <w:tcW w:w="69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616" w:type="dxa"/>
            <w:tcBorders/>
            <w:shd w:fill="FFFFFF" w:val="cle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income (loss) to 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 (Note 10)</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616"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income tax expense (benefit)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Provision for expected credit losses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616"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net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 net:</w:t>
            </w:r>
          </w:p>
        </w:tc>
        <w:tc>
          <w:tcPr>
            <w:tcW w:w="146"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right"/>
              <w:rPr/>
            </w:pPr>
            <w:r>
              <w:rPr/>
              <w:t> </w:t>
            </w:r>
          </w:p>
        </w:tc>
        <w:tc>
          <w:tcPr>
            <w:tcW w:w="616" w:type="dxa"/>
            <w:tcBorders/>
            <w:shd w:fill="CFF0FC" w:val="clear"/>
            <w:vAlign w:val="center"/>
          </w:tcPr>
          <w:p>
            <w:pPr>
              <w:pStyle w:val="TableContents"/>
              <w:bidi w:val="0"/>
              <w:spacing w:before="0" w:after="283"/>
              <w:ind w:left="0" w:right="0" w:firstLine="400"/>
              <w:jc w:val="right"/>
              <w:rPr/>
            </w:pPr>
            <w:r>
              <w:rPr/>
              <w:t> </w:t>
            </w:r>
          </w:p>
        </w:tc>
      </w:tr>
      <w:tr>
        <w:trPr/>
        <w:tc>
          <w:tcPr>
            <w:tcW w:w="699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receivable and contract assets, prepaid expenses and other assets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6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9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 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616" w:type="dxa"/>
            <w:tcBorders/>
            <w:shd w:fill="CFF0FC" w:val="clear"/>
            <w:vAlign w:val="center"/>
          </w:tcPr>
          <w:p>
            <w:pPr>
              <w:pStyle w:val="TableContents"/>
              <w:bidi w:val="0"/>
              <w:spacing w:before="0" w:after="283"/>
              <w:ind w:left="0" w:right="0" w:firstLine="400"/>
              <w:jc w:val="left"/>
              <w:rPr/>
            </w:pPr>
            <w:r>
              <w:rPr/>
              <w:t> </w:t>
            </w:r>
          </w:p>
        </w:tc>
      </w:tr>
      <w:tr>
        <w:trPr/>
        <w:tc>
          <w:tcPr>
            <w:tcW w:w="699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merchant payables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616" w:type="dxa"/>
            <w:tcBorders/>
            <w:shd w:fill="FFFFFF" w:val="clear"/>
            <w:vAlign w:val="center"/>
          </w:tcPr>
          <w:p>
            <w:pPr>
              <w:pStyle w:val="TableContents"/>
              <w:bidi w:val="0"/>
              <w:spacing w:before="0" w:after="283"/>
              <w:ind w:left="0" w:right="0" w:firstLine="400"/>
              <w:jc w:val="left"/>
              <w:rPr/>
            </w:pPr>
            <w:r>
              <w:rPr/>
              <w:t> </w:t>
            </w:r>
          </w:p>
        </w:tc>
      </w:tr>
      <w:tr>
        <w:trPr/>
        <w:tc>
          <w:tcPr>
            <w:tcW w:w="699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Income tax receivables/payables, net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616" w:type="dxa"/>
            <w:tcBorders/>
            <w:shd w:fill="CFF0FC" w:val="clear"/>
            <w:vAlign w:val="center"/>
          </w:tcPr>
          <w:p>
            <w:pPr>
              <w:pStyle w:val="TableContents"/>
              <w:bidi w:val="0"/>
              <w:spacing w:before="0" w:after="283"/>
              <w:ind w:left="0" w:right="0" w:firstLine="400"/>
              <w:jc w:val="left"/>
              <w:rPr/>
            </w:pPr>
            <w:r>
              <w:rPr/>
              <w:t> </w:t>
            </w:r>
          </w:p>
        </w:tc>
      </w:tr>
      <w:tr>
        <w:trPr/>
        <w:tc>
          <w:tcPr>
            <w:tcW w:w="699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w:t>
            </w:r>
          </w:p>
        </w:tc>
        <w:tc>
          <w:tcPr>
            <w:tcW w:w="616" w:type="dxa"/>
            <w:tcBorders/>
            <w:shd w:fill="CFF0FC" w:val="cle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Capital expenditures, including capitalized website development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investing activities, net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6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9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1019" w:type="dxa"/>
            <w:gridSpan w:val="2"/>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Repurchase of common stock (Note 11)</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616" w:type="dxa"/>
            <w:tcBorders/>
            <w:shd w:fill="CFF0FC" w:val="clear"/>
            <w:vAlign w:val="center"/>
          </w:tcPr>
          <w:p>
            <w:pPr>
              <w:pStyle w:val="TableContents"/>
              <w:bidi w:val="0"/>
              <w:spacing w:before="0" w:after="283"/>
              <w:ind w:left="0" w:right="0" w:firstLine="200"/>
              <w:jc w:val="left"/>
              <w:rPr/>
            </w:pPr>
            <w:r>
              <w:rPr/>
              <w:t> </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financing costs related to Credit Facility (Note 6)</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withholding taxes on net share settlements of equity awards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6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of finance lease obligation and other financing activities, net</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9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6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9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616" w:type="dxa"/>
            <w:tcBorders/>
            <w:shd w:fill="CFF0FC" w:val="cle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1,066</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69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paid (received) during the period for income taxes, net of refunds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6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paid during the period for interest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616"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unaudited_financial_notes"/>
      <w:bookmarkEnd w:id="7"/>
      <w:r>
        <w:rPr>
          <w:rFonts w:ascii="Times New Roman" w:hAnsi="Times New Roman"/>
          <w:b/>
          <w:color w:val="000000"/>
          <w:sz w:val="20"/>
        </w:rPr>
        <w:t>NOTE 1: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refer to Tripadvisor, Inc. and our wholly-owned subsidiaries as “Tripadvisor”, “Tripadvisor group”, the “Company”, “us”, “we” and “our” in these notes to the unaudited condensed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Tripadvisor group operates as a family of brands with the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Tripadvisor Core’s purpose is to empower everyone to be a better traveler by serving as the world’s most trusted and essential travel guidance platform. The Tripadvisor brand offers travelers and experience seekers an online global platform for travelers to discover, generate, and share authentic user-generated content, or UGC, in the form of ratings and reviews for destinations, points-of-interest, or POIs, experiences, alternative accommodation rentals, restaurants, and cruises in over 40</w:t>
      </w:r>
      <w:r>
        <w:rPr>
          <w:rFonts w:ascii="Times New Roman" w:hAnsi="Times New Roman"/>
          <w:color w:val="000000"/>
          <w:sz w:val="20"/>
        </w:rPr>
        <w:t xml:space="preserve"> </w:t>
      </w:r>
      <w:r>
        <w:rPr>
          <w:rFonts w:ascii="Times New Roman" w:hAnsi="Times New Roman"/>
          <w:b w:val="false"/>
          <w:color w:val="000000"/>
          <w:sz w:val="20"/>
        </w:rPr>
        <w:t>countries and over 20</w:t>
      </w:r>
      <w:r>
        <w:rPr>
          <w:rFonts w:ascii="Times New Roman" w:hAnsi="Times New Roman"/>
          <w:color w:val="000000"/>
          <w:sz w:val="20"/>
        </w:rPr>
        <w:t xml:space="preserve"> </w:t>
      </w:r>
      <w:r>
        <w:rPr>
          <w:rFonts w:ascii="Times New Roman" w:hAnsi="Times New Roman"/>
          <w:b w:val="false"/>
          <w:color w:val="000000"/>
          <w:sz w:val="20"/>
        </w:rPr>
        <w:t>languages across the world. As of December 31, 2022, Tripadvisor offered more than 1 billion user-generated ratings and reviews on nearly 8 million experiences, accommodations, restaurants, airlines, and cruises.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Viator enables travelers to discover and book iconic, unique and memorable experiences from operators around the globe. Viator's online marketplace is comprehensive, connecting travelers to bookable tours, activities and attractions—consisting of over 300,000 experiences from more than 50,000 operators as of December 31,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TheFork provides an online marketplace that enables diners to discover and book online reservations at more than 55,000</w:t>
      </w:r>
      <w:r>
        <w:rPr>
          <w:rFonts w:ascii="Times New Roman" w:hAnsi="Times New Roman"/>
          <w:color w:val="000000"/>
          <w:sz w:val="20"/>
        </w:rPr>
        <w:t xml:space="preserve"> </w:t>
      </w:r>
      <w:r>
        <w:rPr>
          <w:rFonts w:ascii="Times New Roman" w:hAnsi="Times New Roman"/>
          <w:b w:val="false"/>
          <w:color w:val="000000"/>
          <w:sz w:val="20"/>
        </w:rPr>
        <w:t>restaurants in 12</w:t>
      </w:r>
      <w:r>
        <w:rPr>
          <w:rFonts w:ascii="Times New Roman" w:hAnsi="Times New Roman"/>
          <w:color w:val="000000"/>
          <w:sz w:val="20"/>
        </w:rPr>
        <w:t xml:space="preserve"> </w:t>
      </w:r>
      <w:r>
        <w:rPr>
          <w:rFonts w:ascii="Times New Roman" w:hAnsi="Times New Roman"/>
          <w:b w:val="false"/>
          <w:color w:val="000000"/>
          <w:sz w:val="20"/>
        </w:rPr>
        <w:t>countries, as of December 31, 2022, across the UK, western and central Europe, and Australia.</w:t>
      </w:r>
    </w:p>
    <w:p>
      <w:pPr>
        <w:pStyle w:val="TextBody"/>
        <w:bidi w:val="0"/>
        <w:spacing w:before="36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w:t>
      </w:r>
      <w:r>
        <w:rPr>
          <w:rFonts w:ascii="Times New Roman" w:hAnsi="Times New Roman"/>
          <w:color w:val="000000"/>
          <w:sz w:val="20"/>
        </w:rPr>
        <w:t xml:space="preserve"> </w:t>
      </w:r>
      <w:r>
        <w:rPr>
          <w:rFonts w:ascii="Times New Roman" w:hAnsi="Times New Roman"/>
          <w:b w:val="false"/>
          <w:color w:val="000000"/>
          <w:sz w:val="20"/>
        </w:rPr>
        <w:t>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any of the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2022, previously filed with the SEC. The unaudited condensed consolidated balance sheet as of December 31, 2022 included herein was derived from the audited consolidated financial statements as of that date, but does not include all disclosures including notes required by GAAP.</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Liberty Tripadvisor Holdings, Inc. (“LTRIP”) beneficially owned approximately 16.4</w:t>
      </w:r>
      <w:r>
        <w:rPr>
          <w:rFonts w:ascii="Times New Roman" w:hAnsi="Times New Roman"/>
          <w:color w:val="000000"/>
          <w:sz w:val="20"/>
        </w:rPr>
        <w:t xml:space="preserve"> </w:t>
      </w:r>
      <w:r>
        <w:rPr>
          <w:rFonts w:ascii="Times New Roman" w:hAnsi="Times New Roman"/>
          <w:b w:val="false"/>
          <w:color w:val="000000"/>
          <w:sz w:val="20"/>
        </w:rPr>
        <w:t>million shares of our common stock and approximately 12.8</w:t>
      </w:r>
      <w:r>
        <w:rPr>
          <w:rFonts w:ascii="Times New Roman" w:hAnsi="Times New Roman"/>
          <w:color w:val="000000"/>
          <w:sz w:val="20"/>
        </w:rPr>
        <w:t xml:space="preserve"> </w:t>
      </w:r>
      <w:r>
        <w:rPr>
          <w:rFonts w:ascii="Times New Roman" w:hAnsi="Times New Roman"/>
          <w:b w:val="false"/>
          <w:color w:val="000000"/>
          <w:sz w:val="20"/>
        </w:rPr>
        <w:t>million shares of our Class B common stock, which constitute 13%</w:t>
      </w:r>
      <w:r>
        <w:rPr>
          <w:rFonts w:ascii="Times New Roman" w:hAnsi="Times New Roman"/>
          <w:color w:val="000000"/>
          <w:sz w:val="20"/>
        </w:rPr>
        <w:t xml:space="preserve"> </w:t>
      </w:r>
      <w:r>
        <w:rPr>
          <w:rFonts w:ascii="Times New Roman" w:hAnsi="Times New Roman"/>
          <w:b w:val="false"/>
          <w:color w:val="000000"/>
          <w:sz w:val="20"/>
        </w:rPr>
        <w:t>of the outstanding shares of common stock and 100%</w:t>
      </w:r>
      <w:r>
        <w:rPr>
          <w:rFonts w:ascii="Times New Roman" w:hAnsi="Times New Roman"/>
          <w:color w:val="000000"/>
          <w:sz w:val="20"/>
        </w:rPr>
        <w:t xml:space="preserve"> </w:t>
      </w:r>
      <w:r>
        <w:rPr>
          <w:rFonts w:ascii="Times New Roman" w:hAnsi="Times New Roman"/>
          <w:b w:val="false"/>
          <w:color w:val="000000"/>
          <w:sz w:val="20"/>
        </w:rPr>
        <w:t>of the outstanding shares of Class B common stock. Assuming the conversion of all LTRIP’s shares of Class B common stock into common stock, LTRIP would beneficially own approximately 21%</w:t>
      </w:r>
      <w:r>
        <w:rPr>
          <w:rFonts w:ascii="Times New Roman" w:hAnsi="Times New Roman"/>
          <w:color w:val="000000"/>
          <w:sz w:val="20"/>
        </w:rPr>
        <w:t xml:space="preserve"> </w:t>
      </w:r>
      <w:r>
        <w:rPr>
          <w:rFonts w:ascii="Times New Roman" w:hAnsi="Times New Roman"/>
          <w:b w:val="false"/>
          <w:color w:val="000000"/>
          <w:sz w:val="20"/>
        </w:rPr>
        <w:t>of the outstanding common stock. Because each share of Class B common stock is entitled to</w:t>
      </w:r>
      <w:r>
        <w:rPr>
          <w:rFonts w:ascii="Times New Roman" w:hAnsi="Times New Roman"/>
          <w:color w:val="000000"/>
          <w:sz w:val="20"/>
        </w:rPr>
        <w:t xml:space="preserve"> </w:t>
      </w:r>
      <w:r>
        <w:rPr>
          <w:rFonts w:ascii="Times New Roman" w:hAnsi="Times New Roman"/>
          <w:b w:val="false"/>
          <w:color w:val="000000"/>
          <w:sz w:val="20"/>
        </w:rPr>
        <w:t>ten</w:t>
      </w:r>
      <w:r>
        <w:rPr>
          <w:rFonts w:ascii="Times New Roman" w:hAnsi="Times New Roman"/>
          <w:color w:val="000000"/>
          <w:sz w:val="20"/>
        </w:rPr>
        <w:t xml:space="preserve"> </w:t>
      </w:r>
      <w:r>
        <w:rPr>
          <w:rFonts w:ascii="Times New Roman" w:hAnsi="Times New Roman"/>
          <w:b w:val="false"/>
          <w:color w:val="000000"/>
          <w:sz w:val="20"/>
        </w:rPr>
        <w:t>votes per share</w:t>
      </w:r>
      <w:r>
        <w:rPr>
          <w:rFonts w:ascii="Times New Roman" w:hAnsi="Times New Roman"/>
          <w:color w:val="000000"/>
          <w:sz w:val="20"/>
        </w:rPr>
        <w:t xml:space="preserve"> </w:t>
      </w:r>
      <w:r>
        <w:rPr>
          <w:rFonts w:ascii="Times New Roman" w:hAnsi="Times New Roman"/>
          <w:b w:val="false"/>
          <w:color w:val="000000"/>
          <w:sz w:val="20"/>
        </w:rPr>
        <w:t>and each share of common stock is entitled to</w:t>
      </w:r>
      <w:r>
        <w:rPr>
          <w:rFonts w:ascii="Times New Roman" w:hAnsi="Times New Roman"/>
          <w:color w:val="000000"/>
          <w:sz w:val="20"/>
        </w:rPr>
        <w:t xml:space="preserve"> </w:t>
      </w:r>
      <w:r>
        <w:rPr>
          <w:rFonts w:ascii="Times New Roman" w:hAnsi="Times New Roman"/>
          <w:b w:val="false"/>
          <w:color w:val="000000"/>
          <w:sz w:val="20"/>
        </w:rPr>
        <w:t>one</w:t>
      </w:r>
      <w:r>
        <w:rPr>
          <w:rFonts w:ascii="Times New Roman" w:hAnsi="Times New Roman"/>
          <w:color w:val="000000"/>
          <w:sz w:val="20"/>
        </w:rPr>
        <w:t xml:space="preserve"> </w:t>
      </w:r>
      <w:r>
        <w:rPr>
          <w:rFonts w:ascii="Times New Roman" w:hAnsi="Times New Roman"/>
          <w:b w:val="false"/>
          <w:color w:val="000000"/>
          <w:sz w:val="20"/>
        </w:rPr>
        <w:t>vote per share, LTRIP may be deemed to beneficially own equity securities representing approximately 57%</w:t>
      </w:r>
      <w:r>
        <w:rPr>
          <w:rFonts w:ascii="Times New Roman" w:hAnsi="Times New Roman"/>
          <w:color w:val="000000"/>
          <w:sz w:val="20"/>
        </w:rPr>
        <w:t xml:space="preserve"> </w:t>
      </w:r>
      <w:r>
        <w:rPr>
          <w:rFonts w:ascii="Times New Roman" w:hAnsi="Times New Roman"/>
          <w:b w:val="false"/>
          <w:color w:val="000000"/>
          <w:sz w:val="20"/>
        </w:rPr>
        <w:t>of our voting power. We had no</w:t>
      </w:r>
      <w:r>
        <w:rPr>
          <w:rFonts w:ascii="Times New Roman" w:hAnsi="Times New Roman"/>
          <w:color w:val="000000"/>
          <w:sz w:val="20"/>
        </w:rPr>
        <w:t xml:space="preserve"> </w:t>
      </w:r>
      <w:r>
        <w:rPr>
          <w:rFonts w:ascii="Times New Roman" w:hAnsi="Times New Roman"/>
          <w:b w:val="false"/>
          <w:color w:val="000000"/>
          <w:sz w:val="20"/>
        </w:rPr>
        <w:t>related party transactions with LTRIP during the three and nine months ended September 30, 2023 and 2022, respectively.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business was negatively impacted by the risks and uncertainties related to the COVID-19 pandemic. We believe the travel, leisure, hospitality, and restaurant industries, and our financial results, would be adversely and materially affected upon a resurgence of COVID-19 or the emergence of any new pandemic or other health crisis that results in reinstated travel bans and/or other government restrictions and mandates, any of which would likely negatively impact consumer demand, sentiment, and discretionary spending patterns.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Additionally, other natural disasters, public health-related events,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 underlying our unaudited condensed consolidated financial statements is accounting for income taxes.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w:t>
      </w:r>
      <w:r>
        <w:rPr>
          <w:rFonts w:ascii="Times New Roman" w:hAnsi="Times New Roman"/>
          <w:color w:val="231F20"/>
          <w:sz w:val="20"/>
        </w:rPr>
        <w:t xml:space="preserve"> </w:t>
      </w:r>
      <w:r>
        <w:rPr>
          <w:rFonts w:ascii="Times New Roman" w:hAnsi="Times New Roman"/>
          <w:b w:val="false"/>
          <w:color w:val="231F20"/>
          <w:sz w:val="20"/>
        </w:rPr>
        <w:t>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Times New Roman" w:hAnsi="Times New Roman"/>
          <w:b w:val="false"/>
          <w:color w:val="000000"/>
          <w:sz w:val="20"/>
        </w:rPr>
        <w:t xml:space="preserve">. </w:t>
      </w:r>
      <w:r>
        <w:rPr>
          <w:rFonts w:ascii="Times New Roman" w:hAnsi="Times New Roman"/>
          <w:b w:val="false"/>
          <w:color w:val="231F20"/>
          <w:sz w:val="20"/>
        </w:rPr>
        <w:t>Other factors may also impact typical seasonal fluctuations, such as further significant shifts in our business mix, adverse economic conditions, public health-related events, as well as other factors</w:t>
      </w:r>
      <w:r>
        <w:rPr>
          <w:rFonts w:ascii="Times New Roman" w:hAnsi="Times New Roman"/>
          <w:b w:val="false"/>
          <w:color w:val="00000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There have been no material changes to our accounting policies since December 31, 2022, as described under “Note 2: </w:t>
      </w:r>
      <w:r>
        <w:rPr>
          <w:rFonts w:ascii="Times New Roman" w:hAnsi="Times New Roman"/>
          <w:b w:val="false"/>
          <w:i/>
          <w:color w:val="000000"/>
          <w:sz w:val="20"/>
        </w:rPr>
        <w:t>Significant Accounting Policies</w:t>
      </w:r>
      <w:r>
        <w:rPr>
          <w:rFonts w:ascii="Times New Roman" w:hAnsi="Times New Roman"/>
          <w:color w:val="000000"/>
          <w:sz w:val="20"/>
        </w:rPr>
        <w:t>”</w:t>
      </w:r>
      <w:r>
        <w:rPr>
          <w:rFonts w:ascii="Times New Roman" w:hAnsi="Times New Roman"/>
          <w:b w:val="false"/>
          <w:color w:val="000000"/>
          <w:sz w:val="20"/>
        </w:rPr>
        <w:t>, in the notes to consolidated financial statements in Item 8 of our Annual Report on Form 10-K for the year ended December 31, 2022.</w:t>
      </w:r>
    </w:p>
    <w:p>
      <w:pPr>
        <w:pStyle w:val="TextBody"/>
        <w:bidi w:val="0"/>
        <w:spacing w:before="360" w:after="283"/>
        <w:jc w:val="left"/>
        <w:rPr>
          <w:rFonts w:ascii="Times New Roman" w:hAnsi="Times New Roman"/>
          <w:sz w:val="20"/>
        </w:rPr>
      </w:pPr>
      <w:r>
        <w:rPr>
          <w:rFonts w:ascii="Times New Roman" w:hAnsi="Times New Roman"/>
          <w:b/>
          <w:color w:val="000000"/>
          <w:sz w:val="20"/>
        </w:rPr>
        <w:t>NOTE 3: 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There have been no material changes to our principal revenue streams, revenue recognition policies, performance obligations, description of and timing of services, or customer payment terms since December 31, 2022, as described under “Note 2: </w:t>
      </w:r>
      <w:r>
        <w:rPr>
          <w:rFonts w:ascii="Times New Roman" w:hAnsi="Times New Roman"/>
          <w:b w:val="false"/>
          <w:i/>
          <w:color w:val="000000"/>
          <w:sz w:val="20"/>
        </w:rPr>
        <w:t>Significant Accounting Policies</w:t>
      </w:r>
      <w:r>
        <w:rPr>
          <w:rFonts w:ascii="Times New Roman" w:hAnsi="Times New Roman"/>
          <w:color w:val="000000"/>
          <w:sz w:val="20"/>
        </w:rPr>
        <w:t xml:space="preserve">” </w:t>
      </w:r>
      <w:r>
        <w:rPr>
          <w:rFonts w:ascii="Times New Roman" w:hAnsi="Times New Roman"/>
          <w:b w:val="false"/>
          <w:color w:val="000000"/>
          <w:sz w:val="20"/>
        </w:rPr>
        <w:t xml:space="preserve">and “Note 3: </w:t>
      </w:r>
      <w:r>
        <w:rPr>
          <w:rFonts w:ascii="Times New Roman" w:hAnsi="Times New Roman"/>
          <w:b w:val="false"/>
          <w:i/>
          <w:color w:val="000000"/>
          <w:sz w:val="20"/>
        </w:rPr>
        <w:t>Revenue Recognition</w:t>
      </w:r>
      <w:r>
        <w:rPr>
          <w:rFonts w:ascii="Times New Roman" w:hAnsi="Times New Roman"/>
          <w:color w:val="000000"/>
          <w:sz w:val="20"/>
        </w:rPr>
        <w:t>”</w:t>
      </w:r>
      <w:r>
        <w:rPr>
          <w:rFonts w:ascii="Times New Roman" w:hAnsi="Times New Roman"/>
          <w:b w:val="false"/>
          <w:color w:val="000000"/>
          <w:sz w:val="20"/>
        </w:rPr>
        <w:t>, in the notes to consolidated financial statements in Item 8 of our Annual Report on Form 10-K for the year ended December 31, 2022. There was no significant revenue recognized in the three and nine months ended September 30, 2023 and 2022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w:t>
      </w:r>
      <w:r>
        <w:rPr>
          <w:rFonts w:ascii="Times New Roman" w:hAnsi="Times New Roman"/>
          <w:color w:val="000000"/>
          <w:sz w:val="20"/>
        </w:rPr>
        <w:t xml:space="preserv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13: </w:t>
      </w:r>
      <w:r>
        <w:rPr>
          <w:rFonts w:ascii="Times New Roman" w:hAnsi="Times New Roman"/>
          <w:b w:val="false"/>
          <w:i/>
          <w:color w:val="000000"/>
          <w:sz w:val="20"/>
        </w:rPr>
        <w:t>Segment Information</w:t>
      </w:r>
      <w:r>
        <w:rPr>
          <w:rFonts w:ascii="Times New Roman" w:hAnsi="Times New Roman"/>
          <w:b w:val="false"/>
          <w:color w:val="000000"/>
          <w:sz w:val="20"/>
        </w:rPr>
        <w:t xml:space="preserve">,” our business consists of three reportable segments – (1) Tripadvisor Core; (2) Viator; and (3) TheFork. A reconciliation of disaggregated revenue to reportable segment revenue is included below: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45" w:type="dxa"/>
        <w:jc w:val="left"/>
        <w:tblInd w:w="0" w:type="dxa"/>
        <w:tblLayout w:type="fixed"/>
        <w:tblCellMar>
          <w:top w:w="28" w:type="dxa"/>
          <w:left w:w="28" w:type="dxa"/>
          <w:bottom w:w="28" w:type="dxa"/>
          <w:right w:w="28" w:type="dxa"/>
        </w:tblCellMar>
      </w:tblPr>
      <w:tblGrid>
        <w:gridCol w:w="3691"/>
        <w:gridCol w:w="146"/>
        <w:gridCol w:w="353"/>
        <w:gridCol w:w="705"/>
        <w:gridCol w:w="278"/>
        <w:gridCol w:w="244"/>
        <w:gridCol w:w="353"/>
        <w:gridCol w:w="705"/>
        <w:gridCol w:w="166"/>
        <w:gridCol w:w="146"/>
        <w:gridCol w:w="286"/>
        <w:gridCol w:w="776"/>
        <w:gridCol w:w="225"/>
        <w:gridCol w:w="198"/>
        <w:gridCol w:w="286"/>
        <w:gridCol w:w="776"/>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Major products/revenue sources </w:t>
            </w:r>
            <w:r>
              <w:rPr>
                <w:rFonts w:ascii="Times New Roman" w:hAnsi="Times New Roman"/>
                <w:b/>
                <w:color w:val="000000"/>
                <w:sz w:val="16"/>
              </w:rPr>
              <w:t>(1)</w:t>
            </w: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5497" w:type="dxa"/>
            <w:gridSpan w:val="14"/>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CFF0FC" w:val="cle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Tripadvisor Core:</w:t>
            </w:r>
          </w:p>
        </w:tc>
        <w:tc>
          <w:tcPr>
            <w:tcW w:w="146" w:type="dxa"/>
            <w:tcBorders/>
            <w:shd w:fill="FFFFFF" w:val="clear"/>
            <w:vAlign w:val="center"/>
          </w:tcPr>
          <w:p>
            <w:pPr>
              <w:pStyle w:val="TableContents"/>
              <w:bidi w:val="0"/>
              <w:spacing w:before="0" w:after="283"/>
              <w:jc w:val="center"/>
              <w:rPr/>
            </w:pPr>
            <w:r>
              <w:rPr/>
              <w:t> </w:t>
            </w:r>
          </w:p>
        </w:tc>
        <w:tc>
          <w:tcPr>
            <w:tcW w:w="1058" w:type="dxa"/>
            <w:gridSpan w:val="2"/>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center"/>
              <w:rPr/>
            </w:pPr>
            <w:r>
              <w:rPr/>
              <w:t> </w:t>
            </w:r>
          </w:p>
        </w:tc>
        <w:tc>
          <w:tcPr>
            <w:tcW w:w="105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6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Tripadvisor-branded hotels</w:t>
            </w:r>
          </w:p>
        </w:tc>
        <w:tc>
          <w:tcPr>
            <w:tcW w:w="146" w:type="dxa"/>
            <w:tcBorders/>
            <w:shd w:fill="CFF0FC" w:val="clear"/>
            <w:vAlign w:val="center"/>
          </w:tcPr>
          <w:p>
            <w:pPr>
              <w:pStyle w:val="TableContents"/>
              <w:bidi w:val="0"/>
              <w:spacing w:before="0" w:after="283"/>
              <w:jc w:val="center"/>
              <w:rPr/>
            </w:pPr>
            <w:r>
              <w:rPr/>
              <w:t> </w:t>
            </w:r>
          </w:p>
        </w:tc>
        <w:tc>
          <w:tcPr>
            <w:tcW w:w="3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27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center"/>
              <w:rPr/>
            </w:pPr>
            <w:r>
              <w:rPr/>
              <w:t> </w:t>
            </w:r>
          </w:p>
        </w:tc>
        <w:tc>
          <w:tcPr>
            <w:tcW w:w="3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2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Tripadvisor-branded display and platform</w:t>
            </w:r>
          </w:p>
        </w:tc>
        <w:tc>
          <w:tcPr>
            <w:tcW w:w="146" w:type="dxa"/>
            <w:tcBorders/>
            <w:shd w:fill="FFFFFF" w:val="clear"/>
            <w:vAlign w:val="center"/>
          </w:tcPr>
          <w:p>
            <w:pPr>
              <w:pStyle w:val="TableContents"/>
              <w:bidi w:val="0"/>
              <w:spacing w:before="0" w:after="283"/>
              <w:jc w:val="center"/>
              <w:rPr/>
            </w:pPr>
            <w:r>
              <w:rPr/>
              <w:t> </w:t>
            </w:r>
          </w:p>
        </w:tc>
        <w:tc>
          <w:tcPr>
            <w:tcW w:w="353"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7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center"/>
              <w:rPr/>
            </w:pPr>
            <w:r>
              <w:rPr/>
              <w:t> </w:t>
            </w:r>
          </w:p>
        </w:tc>
        <w:tc>
          <w:tcPr>
            <w:tcW w:w="353"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21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pPr>
            <w:r>
              <w:rPr>
                <w:color w:val="000000"/>
              </w:rPr>
              <w:t>   </w:t>
            </w:r>
            <w:r>
              <w:rPr>
                <w:rFonts w:ascii="Times New Roman" w:hAnsi="Times New Roman"/>
                <w:b w:val="false"/>
                <w:color w:val="000000"/>
                <w:sz w:val="20"/>
              </w:rPr>
              <w:t xml:space="preserve">Tripadvisor experiences and dining </w:t>
            </w: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center"/>
              <w:rPr/>
            </w:pPr>
            <w:r>
              <w:rPr/>
              <w:t> </w:t>
            </w:r>
          </w:p>
        </w:tc>
        <w:tc>
          <w:tcPr>
            <w:tcW w:w="353"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27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center"/>
              <w:rPr/>
            </w:pPr>
            <w:r>
              <w:rPr/>
              <w:t> </w:t>
            </w:r>
          </w:p>
        </w:tc>
        <w:tc>
          <w:tcPr>
            <w:tcW w:w="353"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center"/>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center"/>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Tripadvisor Core</w:t>
            </w:r>
          </w:p>
        </w:tc>
        <w:tc>
          <w:tcPr>
            <w:tcW w:w="146" w:type="dxa"/>
            <w:tcBorders/>
            <w:shd w:fill="CFF0FC" w:val="clear"/>
            <w:vAlign w:val="center"/>
          </w:tcPr>
          <w:p>
            <w:pPr>
              <w:pStyle w:val="TableContents"/>
              <w:bidi w:val="0"/>
              <w:spacing w:before="0" w:after="283"/>
              <w:jc w:val="center"/>
              <w:rPr/>
            </w:pPr>
            <w:r>
              <w:rPr/>
              <w:t> </w:t>
            </w:r>
          </w:p>
        </w:tc>
        <w:tc>
          <w:tcPr>
            <w:tcW w:w="353"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w:t>
            </w:r>
          </w:p>
        </w:tc>
        <w:tc>
          <w:tcPr>
            <w:tcW w:w="27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center"/>
              <w:rPr/>
            </w:pPr>
            <w:r>
              <w:rPr/>
              <w:t> </w:t>
            </w:r>
          </w:p>
        </w:tc>
        <w:tc>
          <w:tcPr>
            <w:tcW w:w="353"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w:t>
            </w:r>
          </w:p>
        </w:tc>
        <w:tc>
          <w:tcPr>
            <w:tcW w:w="2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8" w:type="dxa"/>
            <w:gridSpan w:val="2"/>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center"/>
              <w:rPr/>
            </w:pPr>
            <w:r>
              <w:rPr/>
              <w:t> </w:t>
            </w:r>
          </w:p>
        </w:tc>
        <w:tc>
          <w:tcPr>
            <w:tcW w:w="105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Viator</w:t>
            </w:r>
          </w:p>
        </w:tc>
        <w:tc>
          <w:tcPr>
            <w:tcW w:w="146" w:type="dxa"/>
            <w:tcBorders/>
            <w:shd w:fill="CFF0FC" w:val="clear"/>
            <w:vAlign w:val="center"/>
          </w:tcPr>
          <w:p>
            <w:pPr>
              <w:pStyle w:val="TableContents"/>
              <w:bidi w:val="0"/>
              <w:spacing w:before="0" w:after="283"/>
              <w:jc w:val="center"/>
              <w:rPr/>
            </w:pPr>
            <w:r>
              <w:rPr/>
              <w:t> </w:t>
            </w:r>
          </w:p>
        </w:tc>
        <w:tc>
          <w:tcPr>
            <w:tcW w:w="353"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w:t>
            </w:r>
          </w:p>
        </w:tc>
        <w:tc>
          <w:tcPr>
            <w:tcW w:w="27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center"/>
              <w:rPr/>
            </w:pPr>
            <w:r>
              <w:rPr/>
              <w:t> </w:t>
            </w:r>
          </w:p>
        </w:tc>
        <w:tc>
          <w:tcPr>
            <w:tcW w:w="353"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pPr>
            <w:r>
              <w:rPr/>
              <w:t> </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w:t>
            </w:r>
          </w:p>
        </w:tc>
        <w:tc>
          <w:tcPr>
            <w:tcW w:w="21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TheFork</w:t>
            </w:r>
          </w:p>
        </w:tc>
        <w:tc>
          <w:tcPr>
            <w:tcW w:w="146" w:type="dxa"/>
            <w:tcBorders/>
            <w:shd w:fill="FFFFFF" w:val="clear"/>
            <w:vAlign w:val="center"/>
          </w:tcPr>
          <w:p>
            <w:pPr>
              <w:pStyle w:val="TableContents"/>
              <w:bidi w:val="0"/>
              <w:spacing w:before="0" w:after="283"/>
              <w:jc w:val="center"/>
              <w:rPr/>
            </w:pPr>
            <w:r>
              <w:rPr/>
              <w:t> </w:t>
            </w:r>
          </w:p>
        </w:tc>
        <w:tc>
          <w:tcPr>
            <w:tcW w:w="353"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27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center"/>
              <w:rPr/>
            </w:pPr>
            <w:r>
              <w:rPr/>
              <w:t> </w:t>
            </w:r>
          </w:p>
        </w:tc>
        <w:tc>
          <w:tcPr>
            <w:tcW w:w="353"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21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Intersegment eliminations </w:t>
            </w: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center"/>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4" w:type="dxa"/>
            <w:tcBorders/>
            <w:shd w:fill="CFF0FC" w:val="clear"/>
            <w:vAlign w:val="center"/>
          </w:tcPr>
          <w:p>
            <w:pPr>
              <w:pStyle w:val="TableContents"/>
              <w:bidi w:val="0"/>
              <w:spacing w:before="0" w:after="283"/>
              <w:jc w:val="center"/>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center"/>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center"/>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center"/>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Our revenue is recognized primarily at a point in time for all reportable segments.</w:t>
      </w:r>
      <w:r>
        <w:rPr>
          <w:rFonts w:ascii="Times New Roman" w:hAnsi="Times New Roman"/>
          <w:color w:val="000000"/>
          <w:sz w:val="20"/>
        </w:rPr>
        <w:t xml:space="preserve"> </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(2)</w:t>
      </w:r>
    </w:p>
    <w:p>
      <w:pPr>
        <w:pStyle w:val="TextBody"/>
        <w:bidi w:val="0"/>
        <w:jc w:val="left"/>
        <w:rPr>
          <w:rFonts w:ascii="Times New Roman" w:hAnsi="Times New Roman"/>
          <w:sz w:val="16"/>
        </w:rPr>
      </w:pPr>
      <w:r>
        <w:rPr>
          <w:rFonts w:ascii="Times New Roman" w:hAnsi="Times New Roman"/>
          <w:b w:val="false"/>
          <w:color w:val="000000"/>
          <w:sz w:val="16"/>
        </w:rPr>
        <w:t xml:space="preserve">Tripadvisor experiences and dining revenue within the Tripadvisor Core segment is shown gross of intersegment (intercompany) revenue, which is eliminated on a consolidated basis. See “Note 13: </w:t>
      </w:r>
      <w:r>
        <w:rPr>
          <w:rFonts w:ascii="Times New Roman" w:hAnsi="Times New Roman"/>
          <w:b w:val="false"/>
          <w:i/>
          <w:color w:val="000000"/>
          <w:sz w:val="16"/>
        </w:rPr>
        <w:t>Segment Information</w:t>
      </w:r>
      <w:r>
        <w:rPr>
          <w:rFonts w:ascii="Times New Roman" w:hAnsi="Times New Roman"/>
          <w:color w:val="000000"/>
          <w:sz w:val="16"/>
        </w:rPr>
        <w:t xml:space="preserve">” </w:t>
      </w:r>
      <w:r>
        <w:rPr>
          <w:rFonts w:ascii="Times New Roman" w:hAnsi="Times New Roman"/>
          <w:b w:val="false"/>
          <w:color w:val="000000"/>
          <w:sz w:val="16"/>
        </w:rPr>
        <w:t>for a discussion of intersegment revenue for all periods presented</w:t>
      </w:r>
      <w:r>
        <w:rPr>
          <w:rFonts w:ascii="Times New Roman" w:hAnsi="Times New Roman"/>
          <w:b w:val="false"/>
          <w:color w:val="000000"/>
          <w:sz w:val="18"/>
        </w:rPr>
        <w:t>.</w:t>
      </w:r>
      <w:r>
        <w:rPr>
          <w:rFonts w:ascii="Times New Roman" w:hAnsi="Times New Roman"/>
          <w:color w:val="000000"/>
          <w:sz w:val="16"/>
        </w:rPr>
        <w:t xml:space="preserv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2023, we had $44</w:t>
      </w:r>
      <w:r>
        <w:rPr>
          <w:rFonts w:ascii="Times New Roman" w:hAnsi="Times New Roman"/>
          <w:color w:val="000000"/>
          <w:sz w:val="20"/>
        </w:rPr>
        <w:t xml:space="preserve"> </w:t>
      </w:r>
      <w:r>
        <w:rPr>
          <w:rFonts w:ascii="Times New Roman" w:hAnsi="Times New Roman"/>
          <w:b w:val="false"/>
          <w:color w:val="000000"/>
          <w:sz w:val="20"/>
        </w:rPr>
        <w:t>million recorded as deferred revenue on our unaudited condensed consolidated balance sheet, of which $4</w:t>
      </w:r>
      <w:r>
        <w:rPr>
          <w:rFonts w:ascii="Times New Roman" w:hAnsi="Times New Roman"/>
          <w:color w:val="000000"/>
          <w:sz w:val="20"/>
        </w:rPr>
        <w:t xml:space="preserve"> </w:t>
      </w:r>
      <w:r>
        <w:rPr>
          <w:rFonts w:ascii="Times New Roman" w:hAnsi="Times New Roman"/>
          <w:b w:val="false"/>
          <w:color w:val="000000"/>
          <w:sz w:val="20"/>
        </w:rPr>
        <w:t>million and $40</w:t>
      </w:r>
      <w:r>
        <w:rPr>
          <w:rFonts w:ascii="Times New Roman" w:hAnsi="Times New Roman"/>
          <w:color w:val="000000"/>
          <w:sz w:val="20"/>
        </w:rPr>
        <w:t xml:space="preserve"> </w:t>
      </w:r>
      <w:r>
        <w:rPr>
          <w:rFonts w:ascii="Times New Roman" w:hAnsi="Times New Roman"/>
          <w:b w:val="false"/>
          <w:color w:val="000000"/>
          <w:sz w:val="20"/>
        </w:rPr>
        <w:t>million was recognized as revenue during the three and nine months ended September 30, 2023, respectively. During the three months ended September 30, 2023, refunds due to cancellations by travelers were not material, while refunds due to cancellations by travelers during the nine months ended September 30, 2023 were $3</w:t>
      </w:r>
      <w:r>
        <w:rPr>
          <w:rFonts w:ascii="Times New Roman" w:hAnsi="Times New Roman"/>
          <w:color w:val="000000"/>
          <w:sz w:val="20"/>
        </w:rPr>
        <w:t xml:space="preserve"> </w:t>
      </w:r>
      <w:r>
        <w:rPr>
          <w:rFonts w:ascii="Times New Roman" w:hAnsi="Times New Roman"/>
          <w:b w:val="false"/>
          <w:color w:val="000000"/>
          <w:sz w:val="20"/>
        </w:rPr>
        <w:t>million. As of January 1, 2022, we had $36</w:t>
      </w:r>
      <w:r>
        <w:rPr>
          <w:rFonts w:ascii="Times New Roman" w:hAnsi="Times New Roman"/>
          <w:color w:val="000000"/>
          <w:sz w:val="20"/>
        </w:rPr>
        <w:t xml:space="preserve"> </w:t>
      </w:r>
      <w:r>
        <w:rPr>
          <w:rFonts w:ascii="Times New Roman" w:hAnsi="Times New Roman"/>
          <w:b w:val="false"/>
          <w:color w:val="000000"/>
          <w:sz w:val="20"/>
        </w:rPr>
        <w:t>million recorded as deferred revenue on our unaudited condensed consolidated balance sheet, of which $5</w:t>
      </w:r>
      <w:r>
        <w:rPr>
          <w:rFonts w:ascii="Times New Roman" w:hAnsi="Times New Roman"/>
          <w:color w:val="000000"/>
          <w:sz w:val="20"/>
        </w:rPr>
        <w:t xml:space="preserve"> </w:t>
      </w:r>
      <w:r>
        <w:rPr>
          <w:rFonts w:ascii="Times New Roman" w:hAnsi="Times New Roman"/>
          <w:b w:val="false"/>
          <w:color w:val="000000"/>
          <w:sz w:val="20"/>
        </w:rPr>
        <w:t>million and $31</w:t>
      </w:r>
      <w:r>
        <w:rPr>
          <w:rFonts w:ascii="Times New Roman" w:hAnsi="Times New Roman"/>
          <w:color w:val="000000"/>
          <w:sz w:val="20"/>
        </w:rPr>
        <w:t xml:space="preserve"> </w:t>
      </w:r>
      <w:r>
        <w:rPr>
          <w:rFonts w:ascii="Times New Roman" w:hAnsi="Times New Roman"/>
          <w:b w:val="false"/>
          <w:color w:val="000000"/>
          <w:sz w:val="20"/>
        </w:rPr>
        <w:t>million was recognized as revenue during the three and nine months ended September 30, 2022, respectively. During the three months ended September 30, 2022, refunds due to cancellations by travelers were not material, while $2</w:t>
      </w:r>
      <w:r>
        <w:rPr>
          <w:rFonts w:ascii="Times New Roman" w:hAnsi="Times New Roman"/>
          <w:color w:val="000000"/>
          <w:sz w:val="20"/>
        </w:rPr>
        <w:t xml:space="preserve"> </w:t>
      </w:r>
      <w:r>
        <w:rPr>
          <w:rFonts w:ascii="Times New Roman" w:hAnsi="Times New Roman"/>
          <w:b w:val="false"/>
          <w:color w:val="000000"/>
          <w:sz w:val="20"/>
        </w:rPr>
        <w:t>million was refunded due to cancellations by travelers during the nine months ended September 30, 2022. The difference between the opening and closing balances of our deferred revenue primarily results from the timing differences between when we receive customer payments and the time in which we satisfy our performance obligations.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FINANCIAL INSTRUMENTS AND FAIR VALUE MEASUREMENTS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assets and liabilities required to be reported at fair value, GAAP provides a hierarchy that prioritizes inputs to valuation techniques used to measure fair value into three broad levels: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1—Valuations are based on quoted market prices for identical assets and liabilities in active markets.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3—Valuations are based on unobservable inputs reflecting our own assumptions, consistent with reasonably available assumptions made by other market participants. These valuations require significant judgment.</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Marketable Securities</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As of September 30, 2023 and December 31, 2022, we had approximately $1.1</w:t>
      </w:r>
      <w:r>
        <w:rPr>
          <w:rFonts w:ascii="Times New Roman" w:hAnsi="Times New Roman"/>
          <w:color w:val="000000"/>
          <w:sz w:val="20"/>
        </w:rPr>
        <w:t xml:space="preserve"> </w:t>
      </w:r>
      <w:r>
        <w:rPr>
          <w:rFonts w:ascii="Times New Roman" w:hAnsi="Times New Roman"/>
          <w:b w:val="false"/>
          <w:color w:val="000000"/>
          <w:sz w:val="20"/>
        </w:rPr>
        <w:t>billion and $1.0</w:t>
      </w:r>
      <w:r>
        <w:rPr>
          <w:rFonts w:ascii="Times New Roman" w:hAnsi="Times New Roman"/>
          <w:color w:val="000000"/>
          <w:sz w:val="20"/>
        </w:rPr>
        <w:t xml:space="preserve"> </w:t>
      </w:r>
      <w:r>
        <w:rPr>
          <w:rFonts w:ascii="Times New Roman" w:hAnsi="Times New Roman"/>
          <w:b w:val="false"/>
          <w:color w:val="000000"/>
          <w:sz w:val="20"/>
        </w:rPr>
        <w:t>billion of cash and cash equivalents, respectively, which consisted of available on demand cash deposits and term deposits, as well as money market funds, with maturities of 90 days or less at the date of purchase, in each case, with</w:t>
      </w:r>
      <w:r>
        <w:rPr>
          <w:rFonts w:ascii="Times New Roman" w:hAnsi="Times New Roman"/>
          <w:color w:val="000000"/>
          <w:sz w:val="20"/>
        </w:rPr>
        <w:t xml:space="preserve"> </w:t>
      </w:r>
      <w:r>
        <w:rPr>
          <w:rFonts w:ascii="Times New Roman" w:hAnsi="Times New Roman"/>
          <w:b w:val="false"/>
          <w:color w:val="000000"/>
          <w:sz w:val="20"/>
        </w:rPr>
        <w:t>major global financial institutions. We had no</w:t>
      </w:r>
      <w:r>
        <w:rPr>
          <w:rFonts w:ascii="Times New Roman" w:hAnsi="Times New Roman"/>
          <w:color w:val="000000"/>
          <w:sz w:val="20"/>
        </w:rPr>
        <w:t xml:space="preserve"> </w:t>
      </w:r>
      <w:r>
        <w:rPr>
          <w:rFonts w:ascii="Times New Roman" w:hAnsi="Times New Roman"/>
          <w:b w:val="false"/>
          <w:color w:val="000000"/>
          <w:sz w:val="20"/>
        </w:rPr>
        <w:t>outstanding investments classified as either short-term or long-term marketable securities as of September 30, 2023 and December 31, 2022, and there were no purchases or sales of any marketable securities during and for the three and nine months ended September 30, 2023 and 2022.</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shows our cash and cash equivalents that are measured at fair value on a recurring basis and are categorized using the fair value hierarchy, as well as their classification on our unaudited condensed consolidated balance sheets as of September 30, 2023 and December 31, 2022:</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5"/>
        <w:gridCol w:w="146"/>
        <w:gridCol w:w="267"/>
        <w:gridCol w:w="723"/>
        <w:gridCol w:w="146"/>
        <w:gridCol w:w="146"/>
        <w:gridCol w:w="241"/>
        <w:gridCol w:w="654"/>
        <w:gridCol w:w="146"/>
        <w:gridCol w:w="146"/>
        <w:gridCol w:w="351"/>
        <w:gridCol w:w="952"/>
        <w:gridCol w:w="146"/>
        <w:gridCol w:w="146"/>
        <w:gridCol w:w="267"/>
        <w:gridCol w:w="723"/>
        <w:gridCol w:w="146"/>
        <w:gridCol w:w="146"/>
        <w:gridCol w:w="241"/>
        <w:gridCol w:w="654"/>
        <w:gridCol w:w="146"/>
        <w:gridCol w:w="146"/>
        <w:gridCol w:w="351"/>
        <w:gridCol w:w="952"/>
        <w:gridCol w:w="798"/>
      </w:tblGrid>
      <w:tr>
        <w:trPr/>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36"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798" w:type="dxa"/>
            <w:tcBorders/>
            <w:shd w:fill="FFFFFF" w:val="clear"/>
            <w:vAlign w:val="center"/>
          </w:tcPr>
          <w:p>
            <w:pPr>
              <w:pStyle w:val="TableContents"/>
              <w:bidi w:val="0"/>
              <w:spacing w:before="0" w:after="283"/>
              <w:jc w:val="center"/>
              <w:rPr/>
            </w:pPr>
            <w:r>
              <w:rPr/>
              <w:t> </w:t>
            </w:r>
          </w:p>
        </w:tc>
      </w:tr>
      <w:tr>
        <w:trPr/>
        <w:tc>
          <w:tcPr>
            <w:tcW w:w="14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w:t>
            </w:r>
          </w:p>
        </w:tc>
        <w:tc>
          <w:tcPr>
            <w:tcW w:w="798" w:type="dxa"/>
            <w:tcBorders/>
            <w:shd w:fill="FFFFFF" w:val="clear"/>
            <w:vAlign w:val="center"/>
          </w:tcPr>
          <w:p>
            <w:pPr>
              <w:pStyle w:val="TableContents"/>
              <w:bidi w:val="0"/>
              <w:spacing w:before="0" w:after="283"/>
              <w:jc w:val="left"/>
              <w:rPr/>
            </w:pPr>
            <w:r>
              <w:rPr/>
              <w:t> </w:t>
            </w:r>
          </w:p>
        </w:tc>
      </w:tr>
      <w:tr>
        <w:trPr/>
        <w:tc>
          <w:tcPr>
            <w:tcW w:w="14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ind w:left="0" w:right="0" w:firstLine="200"/>
              <w:jc w:val="right"/>
              <w:rPr/>
            </w:pPr>
            <w:r>
              <w:rPr/>
              <w:t> </w:t>
            </w:r>
          </w:p>
        </w:tc>
      </w:tr>
      <w:tr>
        <w:trPr/>
        <w:tc>
          <w:tcPr>
            <w:tcW w:w="142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color w:val="000000"/>
              </w:rPr>
            </w:pPr>
            <w:r>
              <w:rPr>
                <w:color w:val="000000"/>
              </w:rPr>
              <w:t>—</w:t>
            </w:r>
          </w:p>
        </w:tc>
        <w:tc>
          <w:tcPr>
            <w:tcW w:w="798" w:type="dxa"/>
            <w:tcBorders/>
            <w:shd w:fill="FFFFFF" w:val="clear"/>
            <w:vAlign w:val="center"/>
          </w:tcPr>
          <w:p>
            <w:pPr>
              <w:pStyle w:val="TableContents"/>
              <w:bidi w:val="0"/>
              <w:spacing w:before="0" w:after="283"/>
              <w:jc w:val="left"/>
              <w:rPr/>
            </w:pPr>
            <w:r>
              <w:rPr/>
              <w:t> </w:t>
            </w:r>
          </w:p>
        </w:tc>
      </w:tr>
      <w:tr>
        <w:trPr/>
        <w:tc>
          <w:tcPr>
            <w:tcW w:w="14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ind w:left="0" w:right="0" w:firstLine="200"/>
              <w:jc w:val="right"/>
              <w:rPr/>
            </w:pPr>
            <w:r>
              <w:rPr/>
              <w:t> </w:t>
            </w:r>
          </w:p>
        </w:tc>
      </w:tr>
      <w:tr>
        <w:trPr/>
        <w:tc>
          <w:tcPr>
            <w:tcW w:w="142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deposits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425"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Unrealized gains and losses related to our cash equivalents were not material.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use forward contracts to reduce the effects of foreign currency exchange rate fluctuations on our cash flows primarily for the Euro versus the U.S. Dollar. For the three and nine months ended September 30, 2023 and 2022, our forward contracts have not been designated as hedges and generally had maturities of less than 90 days.</w:t>
      </w:r>
      <w:r>
        <w:rPr>
          <w:rFonts w:ascii="Times New Roman" w:hAnsi="Times New Roman"/>
          <w:color w:val="000000"/>
          <w:sz w:val="20"/>
        </w:rPr>
        <w:t xml:space="preserve"> </w:t>
      </w:r>
      <w:r>
        <w:rPr>
          <w:rFonts w:ascii="Times New Roman" w:hAnsi="Times New Roman"/>
          <w:b w:val="false"/>
          <w:color w:val="000000"/>
          <w:sz w:val="20"/>
        </w:rPr>
        <w:t>Our outstanding or unsettled forward contracts are carried at fair value on our unaudited condensed consolidated balance sheet as of both September 30, 2023 and December 31, 2022.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We recorded a net gain</w:t>
      </w:r>
      <w:r>
        <w:rPr>
          <w:rFonts w:ascii="Times New Roman" w:hAnsi="Times New Roman"/>
          <w:color w:val="000000"/>
          <w:sz w:val="20"/>
        </w:rPr>
        <w:t xml:space="preserve"> </w:t>
      </w:r>
      <w:r>
        <w:rPr>
          <w:rFonts w:ascii="Times New Roman" w:hAnsi="Times New Roman"/>
          <w:b w:val="false"/>
          <w:color w:val="000000"/>
          <w:sz w:val="20"/>
        </w:rPr>
        <w:t>of $1</w:t>
      </w:r>
      <w:r>
        <w:rPr>
          <w:rFonts w:ascii="Times New Roman" w:hAnsi="Times New Roman"/>
          <w:color w:val="000000"/>
          <w:sz w:val="20"/>
        </w:rPr>
        <w:t xml:space="preserve"> </w:t>
      </w:r>
      <w:r>
        <w:rPr>
          <w:rFonts w:ascii="Times New Roman" w:hAnsi="Times New Roman"/>
          <w:b w:val="false"/>
          <w:color w:val="000000"/>
          <w:sz w:val="20"/>
        </w:rPr>
        <w:t>million for both the three and nine months ended September 30, 2023, and a net gain</w:t>
      </w:r>
      <w:r>
        <w:rPr>
          <w:rFonts w:ascii="Times New Roman" w:hAnsi="Times New Roman"/>
          <w:color w:val="000000"/>
          <w:sz w:val="20"/>
        </w:rPr>
        <w:t xml:space="preserve"> </w:t>
      </w:r>
      <w:r>
        <w:rPr>
          <w:rFonts w:ascii="Times New Roman" w:hAnsi="Times New Roman"/>
          <w:b w:val="false"/>
          <w:color w:val="000000"/>
          <w:sz w:val="20"/>
        </w:rPr>
        <w:t>of $4</w:t>
      </w:r>
      <w:r>
        <w:rPr>
          <w:rFonts w:ascii="Times New Roman" w:hAnsi="Times New Roman"/>
          <w:color w:val="000000"/>
          <w:sz w:val="20"/>
        </w:rPr>
        <w:t xml:space="preserve"> </w:t>
      </w:r>
      <w:r>
        <w:rPr>
          <w:rFonts w:ascii="Times New Roman" w:hAnsi="Times New Roman"/>
          <w:b w:val="false"/>
          <w:color w:val="000000"/>
          <w:sz w:val="20"/>
        </w:rPr>
        <w:t>million and $6</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shows the net notional principal amounts of our outstanding derivative instruments as of the dates presented:</w:t>
      </w:r>
    </w:p>
    <w:tbl>
      <w:tblPr>
        <w:tblW w:w="7965" w:type="dxa"/>
        <w:jc w:val="left"/>
        <w:tblInd w:w="0" w:type="dxa"/>
        <w:tblLayout w:type="fixed"/>
        <w:tblCellMar>
          <w:top w:w="28" w:type="dxa"/>
          <w:left w:w="28" w:type="dxa"/>
          <w:bottom w:w="28" w:type="dxa"/>
          <w:right w:w="28" w:type="dxa"/>
        </w:tblCellMar>
      </w:tblPr>
      <w:tblGrid>
        <w:gridCol w:w="4291"/>
        <w:gridCol w:w="146"/>
        <w:gridCol w:w="617"/>
        <w:gridCol w:w="928"/>
        <w:gridCol w:w="146"/>
        <w:gridCol w:w="146"/>
        <w:gridCol w:w="599"/>
        <w:gridCol w:w="90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Foreign currency exchange-forward contracts </w:t>
            </w:r>
            <w:r>
              <w:rPr>
                <w:rFonts w:ascii="Times New Roman" w:hAnsi="Times New Roman"/>
                <w:b w:val="false"/>
                <w:color w:val="000000"/>
                <w:sz w:val="16"/>
              </w:rPr>
              <w:t>(1) (2)</w:t>
            </w:r>
          </w:p>
        </w:tc>
        <w:tc>
          <w:tcPr>
            <w:tcW w:w="146"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left"/>
        <w:rPr>
          <w:rFonts w:ascii="Times New Roman" w:hAnsi="Times New Roman"/>
          <w:sz w:val="20"/>
        </w:rPr>
      </w:pPr>
      <w:r>
        <w:rPr>
          <w:rFonts w:ascii="Times New Roman" w:hAnsi="Times New Roman"/>
          <w:b w:val="false"/>
          <w:color w:val="000000"/>
          <w:sz w:val="16"/>
        </w:rPr>
        <w:t>Derivative contracts address foreign currency exchange fluctuations for the Euro versus the U.S. dollar. These outstanding derivatives are not designated as hedging instruments and have an original maturity period of 90 days</w:t>
      </w:r>
      <w:r>
        <w:rPr>
          <w:rFonts w:ascii="Times New Roman" w:hAnsi="Times New Roman"/>
          <w:color w:val="000000"/>
          <w:sz w:val="20"/>
        </w:rPr>
        <w:t xml:space="preserve"> </w:t>
      </w:r>
      <w:r>
        <w:rPr>
          <w:rFonts w:ascii="Times New Roman" w:hAnsi="Times New Roman"/>
          <w:b w:val="false"/>
          <w:color w:val="000000"/>
          <w:sz w:val="16"/>
        </w:rPr>
        <w:t>or less.</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jc w:val="left"/>
        <w:rPr>
          <w:rFonts w:ascii="Times New Roman" w:hAnsi="Times New Roman"/>
          <w:sz w:val="20"/>
        </w:rPr>
      </w:pPr>
      <w:r>
        <w:rPr>
          <w:rFonts w:ascii="Times New Roman" w:hAnsi="Times New Roman"/>
          <w:b w:val="false"/>
          <w:color w:val="000000"/>
          <w:sz w:val="16"/>
        </w:rPr>
        <w:t>The fair value of our outstanding derivatives as of September 30, 2023</w:t>
      </w:r>
      <w:r>
        <w:rPr>
          <w:rFonts w:ascii="Times New Roman" w:hAnsi="Times New Roman"/>
          <w:color w:val="000000"/>
          <w:sz w:val="20"/>
        </w:rPr>
        <w:t xml:space="preserve"> </w:t>
      </w:r>
      <w:r>
        <w:rPr>
          <w:rFonts w:ascii="Times New Roman" w:hAnsi="Times New Roman"/>
          <w:b w:val="false"/>
          <w:color w:val="000000"/>
          <w:sz w:val="16"/>
        </w:rPr>
        <w:t>was $1</w:t>
      </w:r>
      <w:r>
        <w:rPr>
          <w:rFonts w:ascii="Times New Roman" w:hAnsi="Times New Roman"/>
          <w:color w:val="000000"/>
          <w:sz w:val="20"/>
        </w:rPr>
        <w:t xml:space="preserve"> </w:t>
      </w:r>
      <w:r>
        <w:rPr>
          <w:rFonts w:ascii="Times New Roman" w:hAnsi="Times New Roman"/>
          <w:b w:val="false"/>
          <w:color w:val="000000"/>
          <w:sz w:val="16"/>
        </w:rPr>
        <w:t>million and was reported in prepaid expenses and other current assets on our unaudited condensed consolidated balance sheet. The fair value of our outstanding derivatives as of December 31, 2022</w:t>
      </w:r>
      <w:r>
        <w:rPr>
          <w:rFonts w:ascii="Times New Roman" w:hAnsi="Times New Roman"/>
          <w:color w:val="000000"/>
          <w:sz w:val="20"/>
        </w:rPr>
        <w:t xml:space="preserve"> </w:t>
      </w:r>
      <w:r>
        <w:rPr>
          <w:rFonts w:ascii="Times New Roman" w:hAnsi="Times New Roman"/>
          <w:b w:val="false"/>
          <w:color w:val="000000"/>
          <w:sz w:val="16"/>
        </w:rPr>
        <w:t>was not material. The notional amount of a forward contract is the contracted amount of foreign currency to be exchanged and is not recorded on the unaudited condensed consolidated balance sheet.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were not entered into any cash flow, fair value or net investment hedges as of September 30, 2023 or December 31, 2022.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Financial Assets and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and contract assets, as described below, as well as certain other financial assets, are measured at amortized cost and are carried at cost less an allowance for expected credit losses on our unaudited condensed consolidated balance sheet to present the net amount expected to be collected.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Accounts Receivable and Contract Assets, net</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provides information about the opening and closing balances of accounts receivable and contract assets, net of allowance for expected credit losses, from contracts with customers as of the dates presented:</w:t>
      </w:r>
    </w:p>
    <w:tbl>
      <w:tblPr>
        <w:tblW w:w="5155" w:type="dxa"/>
        <w:jc w:val="left"/>
        <w:tblInd w:w="0" w:type="dxa"/>
        <w:tblLayout w:type="fixed"/>
        <w:tblCellMar>
          <w:top w:w="28" w:type="dxa"/>
          <w:left w:w="28" w:type="dxa"/>
          <w:bottom w:w="28" w:type="dxa"/>
          <w:right w:w="28" w:type="dxa"/>
        </w:tblCellMar>
      </w:tblPr>
      <w:tblGrid>
        <w:gridCol w:w="1771"/>
        <w:gridCol w:w="146"/>
        <w:gridCol w:w="1546"/>
        <w:gridCol w:w="146"/>
        <w:gridCol w:w="154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r>
      <w:tr>
        <w:trPr/>
        <w:tc>
          <w:tcPr>
            <w:tcW w:w="17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r>
      <w:tr>
        <w:trPr/>
        <w:tc>
          <w:tcPr>
            <w:tcW w:w="17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assets</w:t>
            </w:r>
          </w:p>
        </w:tc>
        <w:tc>
          <w:tcPr>
            <w:tcW w:w="146" w:type="dxa"/>
            <w:tcBorders/>
            <w:shd w:fill="FFFFFF" w:val="cle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r>
      <w:tr>
        <w:trPr/>
        <w:tc>
          <w:tcPr>
            <w:tcW w:w="17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r>
    </w:tbl>
    <w:p>
      <w:pPr>
        <w:pStyle w:val="TextBody"/>
        <w:bidi w:val="0"/>
        <w:spacing w:before="240" w:after="120"/>
        <w:jc w:val="left"/>
        <w:rPr>
          <w:rFonts w:ascii="Times New Roman" w:hAnsi="Times New Roman"/>
          <w:sz w:val="20"/>
        </w:rPr>
      </w:pPr>
      <w:r>
        <w:rPr>
          <w:rFonts w:ascii="Times New Roman" w:hAnsi="Times New Roman"/>
          <w:b w:val="false"/>
          <w:color w:val="000000"/>
          <w:sz w:val="20"/>
        </w:rPr>
        <w:t>Accounts receivable are recognized when the right to consideration becomes unconditional, and are recorded net of an allowance for expected credit losses. We record accounts receivable at the invoiced amount. Our customer invoices are generally due from customers 30 days from the time of invoicing. During the nine months ended September 30, 2023, we recorded $5</w:t>
      </w:r>
      <w:r>
        <w:rPr>
          <w:rFonts w:ascii="Times New Roman" w:hAnsi="Times New Roman"/>
          <w:color w:val="000000"/>
          <w:sz w:val="20"/>
        </w:rPr>
        <w:t xml:space="preserve"> </w:t>
      </w:r>
      <w:r>
        <w:rPr>
          <w:rFonts w:ascii="Times New Roman" w:hAnsi="Times New Roman"/>
          <w:b w:val="false"/>
          <w:color w:val="000000"/>
          <w:sz w:val="20"/>
        </w:rPr>
        <w:t>million of incremental allowance for expected uncollectible accounts, offset by $9</w:t>
      </w:r>
      <w:r>
        <w:rPr>
          <w:rFonts w:ascii="Times New Roman" w:hAnsi="Times New Roman"/>
          <w:color w:val="000000"/>
          <w:sz w:val="20"/>
        </w:rPr>
        <w:t xml:space="preserve"> </w:t>
      </w:r>
      <w:r>
        <w:rPr>
          <w:rFonts w:ascii="Times New Roman" w:hAnsi="Times New Roman"/>
          <w:b w:val="false"/>
          <w:color w:val="000000"/>
          <w:sz w:val="20"/>
        </w:rPr>
        <w:t>million of write-offs for accounts deemed to be uncollectible. The Company's exposure to credit losses may increase if our customers are adversely affected by changes in macroeconomic pressures or uncertainty associated with local or global economic recessions, or other customer-specific factors.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Fair Value of Long-Term Debt</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 xml:space="preserve">The following table shows the aggregate principal, carrying value and fair value amounts of the outstanding 2025 Senior Notes and 2026 Senior Notes as of the dates presented, which are classified as long-term debt on our unaudited condensed consolidated balance sheets and considered Level 2 fair value measurements. Refer to “Note 6: </w:t>
      </w:r>
      <w:r>
        <w:rPr>
          <w:rFonts w:ascii="Times New Roman" w:hAnsi="Times New Roman"/>
          <w:b w:val="false"/>
          <w:i/>
          <w:color w:val="000000"/>
          <w:sz w:val="20"/>
        </w:rPr>
        <w:t>Debt</w:t>
      </w:r>
      <w:r>
        <w:rPr>
          <w:rFonts w:ascii="Times New Roman" w:hAnsi="Times New Roman"/>
          <w:color w:val="000000"/>
          <w:sz w:val="20"/>
        </w:rPr>
        <w:t xml:space="preserve">” </w:t>
      </w:r>
      <w:r>
        <w:rPr>
          <w:rFonts w:ascii="Times New Roman" w:hAnsi="Times New Roman"/>
          <w:b w:val="false"/>
          <w:color w:val="000000"/>
          <w:sz w:val="20"/>
        </w:rPr>
        <w:t>for additional information on the 2025 Senior Notes and 2026 Senior Notes.</w:t>
      </w:r>
    </w:p>
    <w:tbl>
      <w:tblPr>
        <w:tblW w:w="6255" w:type="dxa"/>
        <w:jc w:val="left"/>
        <w:tblInd w:w="0" w:type="dxa"/>
        <w:tblLayout w:type="fixed"/>
        <w:tblCellMar>
          <w:top w:w="28" w:type="dxa"/>
          <w:left w:w="28" w:type="dxa"/>
          <w:bottom w:w="28" w:type="dxa"/>
          <w:right w:w="28" w:type="dxa"/>
        </w:tblCellMar>
      </w:tblPr>
      <w:tblGrid>
        <w:gridCol w:w="2581"/>
        <w:gridCol w:w="146"/>
        <w:gridCol w:w="514"/>
        <w:gridCol w:w="1031"/>
        <w:gridCol w:w="146"/>
        <w:gridCol w:w="146"/>
        <w:gridCol w:w="499"/>
        <w:gridCol w:w="100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2025 Senior Notes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Aggregate principal amount</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Carrying value amount (1)</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Fair value amount (2)</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2026 Senior Notes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Aggregate principal amount</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Carrying value amount (3)</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Fair value amount (2)</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rFonts w:ascii="Calibri;sans-serif" w:hAnsi="Calibri;sans-serif"/>
          <w:sz w:val="22"/>
        </w:rPr>
      </w:pPr>
      <w:r>
        <w:rPr>
          <w:rFonts w:ascii="Times New Roman" w:hAnsi="Times New Roman"/>
          <w:b w:val="false"/>
          <w:color w:val="000000"/>
          <w:sz w:val="16"/>
        </w:rPr>
        <w:t>Net of $3</w:t>
      </w:r>
      <w:r>
        <w:rPr>
          <w:rFonts w:ascii="Calibri;sans-serif" w:hAnsi="Calibri;sans-serif"/>
          <w:color w:val="000000"/>
          <w:sz w:val="22"/>
        </w:rPr>
        <w:t xml:space="preserve"> </w:t>
      </w:r>
      <w:r>
        <w:rPr>
          <w:rFonts w:ascii="Times New Roman" w:hAnsi="Times New Roman"/>
          <w:b w:val="false"/>
          <w:color w:val="000000"/>
          <w:sz w:val="16"/>
        </w:rPr>
        <w:t>million and $5</w:t>
      </w:r>
      <w:r>
        <w:rPr>
          <w:rFonts w:ascii="Calibri;sans-serif" w:hAnsi="Calibri;sans-serif"/>
          <w:color w:val="000000"/>
          <w:sz w:val="22"/>
        </w:rPr>
        <w:t xml:space="preserve"> </w:t>
      </w:r>
      <w:r>
        <w:rPr>
          <w:rFonts w:ascii="Times New Roman" w:hAnsi="Times New Roman"/>
          <w:b w:val="false"/>
          <w:color w:val="000000"/>
          <w:sz w:val="16"/>
        </w:rPr>
        <w:t>million of unamortized debt issuance costs as of September 30, 2023 and December 31, 2022, respectively.</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left"/>
        <w:rPr>
          <w:rFonts w:ascii="Calibri;sans-serif" w:hAnsi="Calibri;sans-serif"/>
          <w:sz w:val="22"/>
        </w:rPr>
      </w:pPr>
      <w:r>
        <w:rPr>
          <w:rFonts w:ascii="Times New Roman" w:hAnsi="Times New Roman"/>
          <w:b w:val="false"/>
          <w:color w:val="000000"/>
          <w:sz w:val="16"/>
        </w:rPr>
        <w:t>We estimate the fair value of our outstanding 2025 Senior Notes and 2026 Senior Notes based on recently reported market transactions</w:t>
      </w:r>
      <w:r>
        <w:rPr>
          <w:rFonts w:ascii="Calibri;sans-serif" w:hAnsi="Calibri;sans-serif"/>
          <w:color w:val="000000"/>
          <w:sz w:val="22"/>
        </w:rPr>
        <w:t xml:space="preserve"> </w:t>
      </w:r>
      <w:r>
        <w:rPr>
          <w:rFonts w:ascii="Times New Roman" w:hAnsi="Times New Roman"/>
          <w:b w:val="false"/>
          <w:color w:val="000000"/>
          <w:sz w:val="16"/>
        </w:rPr>
        <w:t>and/or prices for identical or similar financial instruments obtained from a third-party pricing source.</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(3)</w:t>
      </w:r>
    </w:p>
    <w:p>
      <w:pPr>
        <w:pStyle w:val="TextBody"/>
        <w:bidi w:val="0"/>
        <w:jc w:val="left"/>
        <w:rPr>
          <w:rFonts w:ascii="Calibri;sans-serif" w:hAnsi="Calibri;sans-serif"/>
          <w:sz w:val="22"/>
        </w:rPr>
      </w:pPr>
      <w:r>
        <w:rPr>
          <w:rFonts w:ascii="Times New Roman" w:hAnsi="Times New Roman"/>
          <w:b w:val="false"/>
          <w:color w:val="000000"/>
          <w:sz w:val="16"/>
        </w:rPr>
        <w:t>Net of $3</w:t>
      </w:r>
      <w:r>
        <w:rPr>
          <w:rFonts w:ascii="Calibri;sans-serif" w:hAnsi="Calibri;sans-serif"/>
          <w:color w:val="000000"/>
          <w:sz w:val="22"/>
        </w:rPr>
        <w:t xml:space="preserve"> </w:t>
      </w:r>
      <w:r>
        <w:rPr>
          <w:rFonts w:ascii="Times New Roman" w:hAnsi="Times New Roman"/>
          <w:b w:val="false"/>
          <w:color w:val="000000"/>
          <w:sz w:val="16"/>
        </w:rPr>
        <w:t>million and $4</w:t>
      </w:r>
      <w:r>
        <w:rPr>
          <w:rFonts w:ascii="Calibri;sans-serif" w:hAnsi="Calibri;sans-serif"/>
          <w:color w:val="000000"/>
          <w:sz w:val="22"/>
        </w:rPr>
        <w:t xml:space="preserve"> </w:t>
      </w:r>
      <w:r>
        <w:rPr>
          <w:rFonts w:ascii="Times New Roman" w:hAnsi="Times New Roman"/>
          <w:b w:val="false"/>
          <w:color w:val="000000"/>
          <w:sz w:val="16"/>
        </w:rPr>
        <w:t>million of unamortized debt issuance costs as of September 30, 2023 and December 31, 2022,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did not have any assets or liabilities measured at fair value on a recurring basis using Level 3 unobservable inputs as of September 30, 2023 and December 31, 2022.</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and Concentrations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business is subject to certain financial risks and concentrations, including concentration related to dependence on our relationships with our customers. For the year ended December 31, 2022, our two most significant travel partners, Expedia Group, Inc. (and its subsidiaries) and Booking Holdings, Inc. (and its subsidiaries), each accounted for 10% or more of our consolidated revenue and together accounted for approximately 35% of our consolidated revenue, with nearly all of this revenue concentrated in our Tripadvisor Core segment.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w:t>
      </w:r>
      <w:r>
        <w:rPr>
          <w:rFonts w:ascii="Times New Roman" w:hAnsi="Times New Roman"/>
          <w:color w:val="000000"/>
          <w:sz w:val="20"/>
        </w:rPr>
        <w:t xml:space="preserve"> </w:t>
      </w:r>
      <w:r>
        <w:rPr>
          <w:rFonts w:ascii="Times New Roman" w:hAnsi="Times New Roman"/>
          <w:b w:val="false"/>
          <w:color w:val="000000"/>
          <w:sz w:val="20"/>
        </w:rPr>
        <w:t>days, also mitigate risk. Our overall credit risk related to accounts receivable is mitigated by the relatively short collection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Assets Measured at Fair Value on a Non-recurring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Non-Marketable Investments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Equity Securities Accounted for under the Equity Method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$30</w:t>
      </w:r>
      <w:r>
        <w:rPr>
          <w:rFonts w:ascii="Times New Roman" w:hAnsi="Times New Roman"/>
          <w:color w:val="000000"/>
          <w:sz w:val="20"/>
        </w:rPr>
        <w:t xml:space="preserve"> </w:t>
      </w:r>
      <w:r>
        <w:rPr>
          <w:rFonts w:ascii="Times New Roman" w:hAnsi="Times New Roman"/>
          <w:b w:val="false"/>
          <w:color w:val="000000"/>
          <w:sz w:val="20"/>
        </w:rPr>
        <w:t>million and $32</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 and is included in non-marketable investments on our unaudited condensed consolidated balance sheets. During the nine months ended September 30, 2023, we recognized $1</w:t>
      </w:r>
      <w:r>
        <w:rPr>
          <w:rFonts w:ascii="Times New Roman" w:hAnsi="Times New Roman"/>
          <w:color w:val="000000"/>
          <w:sz w:val="20"/>
        </w:rPr>
        <w:t xml:space="preserve"> </w:t>
      </w:r>
      <w:r>
        <w:rPr>
          <w:rFonts w:ascii="Times New Roman" w:hAnsi="Times New Roman"/>
          <w:b w:val="false"/>
          <w:color w:val="000000"/>
          <w:sz w:val="20"/>
        </w:rPr>
        <w:t>million, representing our share of the investee’s net loss in other income (expenses), net within the unaudited condensed consolidated statements of operations, while this amount was not material during the three months ended September 30, 2023. During the three and nine months ended September 30, 2022, we recognized $1</w:t>
      </w:r>
      <w:r>
        <w:rPr>
          <w:rFonts w:ascii="Times New Roman" w:hAnsi="Times New Roman"/>
          <w:color w:val="000000"/>
          <w:sz w:val="20"/>
        </w:rPr>
        <w:t xml:space="preserve"> </w:t>
      </w:r>
      <w:r>
        <w:rPr>
          <w:rFonts w:ascii="Times New Roman" w:hAnsi="Times New Roman"/>
          <w:b w:val="false"/>
          <w:color w:val="000000"/>
          <w:sz w:val="20"/>
        </w:rPr>
        <w:t>million and $2</w:t>
      </w:r>
      <w:r>
        <w:rPr>
          <w:rFonts w:ascii="Times New Roman" w:hAnsi="Times New Roman"/>
          <w:color w:val="000000"/>
          <w:sz w:val="20"/>
        </w:rPr>
        <w:t xml:space="preserve"> </w:t>
      </w:r>
      <w:r>
        <w:rPr>
          <w:rFonts w:ascii="Times New Roman" w:hAnsi="Times New Roman"/>
          <w:b w:val="false"/>
          <w:color w:val="000000"/>
          <w:sz w:val="20"/>
        </w:rPr>
        <w:t>million, respectively,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nine months ended September 30, 2023 and 2022, we did not record any impairment loss on this equity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maintains various commercial agreements with Chelsea Investment Holding Company PTE Ltd. and/or its subsidiaries. Transactions under these agreements are considered related-party transactions, and were not material during the three and nine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Long-Term Assets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holds collateralized notes (the “Notes Receivable”) issued by a privately held company with a total principal amount of $20</w:t>
      </w:r>
      <w:r>
        <w:rPr>
          <w:rFonts w:ascii="Times New Roman" w:hAnsi="Times New Roman"/>
          <w:color w:val="000000"/>
          <w:sz w:val="20"/>
        </w:rPr>
        <w:t xml:space="preserve"> </w:t>
      </w:r>
      <w:r>
        <w:rPr>
          <w:rFonts w:ascii="Times New Roman" w:hAnsi="Times New Roman"/>
          <w:b w:val="false"/>
          <w:color w:val="000000"/>
          <w:sz w:val="20"/>
        </w:rPr>
        <w:t>million. The Company has classified the Notes Receivable as held-to-maturity, as the Company has concluded it has the positive intent and ability to hold the Notes Receivable until maturity, with 50% due in June 2025 and the remaining 50% due in June 2030. As of both September 30, 2023 and December 31, 2022, the carrying value of the Notes Receivable was $9</w:t>
      </w:r>
      <w:r>
        <w:rPr>
          <w:rFonts w:ascii="Times New Roman" w:hAnsi="Times New Roman"/>
          <w:color w:val="000000"/>
          <w:sz w:val="20"/>
        </w:rPr>
        <w:t xml:space="preserve"> </w:t>
      </w:r>
      <w:r>
        <w:rPr>
          <w:rFonts w:ascii="Times New Roman" w:hAnsi="Times New Roman"/>
          <w:b w:val="false"/>
          <w:color w:val="000000"/>
          <w:sz w:val="20"/>
        </w:rPr>
        <w:t>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 ACCRUED EXPENSES AND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Accrued expenses and other current liabilities consisted of the following as of the dates presented:</w:t>
      </w:r>
      <w:r>
        <w:rPr>
          <w:rFonts w:ascii="Times New Roman" w:hAnsi="Times New Roman"/>
          <w:color w:val="000000"/>
          <w:sz w:val="20"/>
        </w:rPr>
        <w:t xml:space="preserve"> </w:t>
      </w:r>
    </w:p>
    <w:p>
      <w:pPr>
        <w:pStyle w:val="TextBody"/>
        <w:bidi w:val="0"/>
        <w:jc w:val="left"/>
        <w:rPr/>
      </w:pPr>
      <w:r>
        <w:rPr/>
        <w:t> </w:t>
      </w:r>
    </w:p>
    <w:tbl>
      <w:tblPr>
        <w:tblW w:w="8615" w:type="dxa"/>
        <w:jc w:val="left"/>
        <w:tblInd w:w="0" w:type="dxa"/>
        <w:tblLayout w:type="fixed"/>
        <w:tblCellMar>
          <w:top w:w="28" w:type="dxa"/>
          <w:left w:w="28" w:type="dxa"/>
          <w:bottom w:w="28" w:type="dxa"/>
          <w:right w:w="28" w:type="dxa"/>
        </w:tblCellMar>
      </w:tblPr>
      <w:tblGrid>
        <w:gridCol w:w="4741"/>
        <w:gridCol w:w="146"/>
        <w:gridCol w:w="514"/>
        <w:gridCol w:w="1031"/>
        <w:gridCol w:w="146"/>
        <w:gridCol w:w="146"/>
        <w:gridCol w:w="499"/>
        <w:gridCol w:w="1001"/>
        <w:gridCol w:w="3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employee salary, bonus, and related benefits</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39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marketing costs</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39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payable (1)</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9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liability - current portion</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39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 liability - current portion</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9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and other related reorganization cost (2)(3)</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 xml:space="preserve">Amount relates primarily to unpaid interest accrued on the 2025 Senior Notes. Refer to “Note 6: </w:t>
      </w:r>
      <w:r>
        <w:rPr>
          <w:rFonts w:ascii="Times New Roman" w:hAnsi="Times New Roman"/>
          <w:b w:val="false"/>
          <w:i/>
          <w:color w:val="000000"/>
          <w:sz w:val="16"/>
        </w:rPr>
        <w:t>Debt</w:t>
      </w:r>
      <w:r>
        <w:rPr>
          <w:rFonts w:ascii="Times New Roman" w:hAnsi="Times New Roman"/>
          <w:color w:val="000000"/>
          <w:sz w:val="20"/>
        </w:rPr>
        <w:t xml:space="preserve">” </w:t>
      </w:r>
      <w:r>
        <w:rPr>
          <w:rFonts w:ascii="Times New Roman" w:hAnsi="Times New Roman"/>
          <w:b w:val="false"/>
          <w:color w:val="000000"/>
          <w:sz w:val="16"/>
        </w:rPr>
        <w:t>for further information.</w:t>
      </w:r>
      <w:r>
        <w:rPr>
          <w:rFonts w:ascii="Times New Roman" w:hAnsi="Times New Roman"/>
          <w:color w:val="000000"/>
          <w:sz w:val="20"/>
        </w:rPr>
        <w:t xml:space="preserve">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left"/>
        <w:rPr>
          <w:rFonts w:ascii="Times New Roman" w:hAnsi="Times New Roman"/>
          <w:sz w:val="20"/>
        </w:rPr>
      </w:pPr>
      <w:r>
        <w:rPr>
          <w:rFonts w:ascii="Times New Roman" w:hAnsi="Times New Roman"/>
          <w:b w:val="false"/>
          <w:color w:val="000000"/>
          <w:sz w:val="16"/>
        </w:rPr>
        <w:t>During the third quarter of 2023, the Company approved and subsequently initiated a set of actions across its businesses in order to reduce its cost structure, improve operational efficiencies, and realign its workforce with its strategic initiatives. These restructuring and reorganization actions resulted in reduced global headcount. As a result, the Company incurred estimated pre-tax restructuring and other related reorganization costs of $18</w:t>
      </w:r>
      <w:r>
        <w:rPr>
          <w:rFonts w:ascii="Times New Roman" w:hAnsi="Times New Roman"/>
          <w:color w:val="000000"/>
          <w:sz w:val="20"/>
        </w:rPr>
        <w:t xml:space="preserve"> </w:t>
      </w:r>
      <w:r>
        <w:rPr>
          <w:rFonts w:ascii="Times New Roman" w:hAnsi="Times New Roman"/>
          <w:b w:val="false"/>
          <w:color w:val="000000"/>
          <w:sz w:val="16"/>
        </w:rPr>
        <w:t>million during the three months ended September 30, 2023, which consisted primarily of employee severance and related benefits. Potential job position eliminations in each country are subject to local law and consultation requirements, which will extend beyond the fourth quarter of 2023 in certain countries. Therefore, actual costs incurred may differ from estimated costs recorded as of September 30, 2023.</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(3)</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We expect that the majority of these costs will be paid during the fourth quarter of 2023 and the first quarter of 2024.</w:t>
      </w:r>
    </w:p>
    <w:p>
      <w:pPr>
        <w:pStyle w:val="TextBody"/>
        <w:bidi w:val="0"/>
        <w:spacing w:before="120" w:after="120"/>
        <w:jc w:val="left"/>
        <w:rPr>
          <w:rFonts w:ascii="Times New Roman" w:hAnsi="Times New Roman"/>
          <w:b w:val="false"/>
          <w:color w:val="000000"/>
          <w:sz w:val="16"/>
        </w:rPr>
      </w:pPr>
      <w:r>
        <w:rPr>
          <w:rFonts w:ascii="Times New Roman" w:hAnsi="Times New Roman"/>
          <w:b w:val="false"/>
          <w:color w:val="000000"/>
          <w:sz w:val="16"/>
        </w:rPr>
        <w:t>The following table summarizes our restructuring and other related reorganization costs for the nine months ended September 30, 2023:</w:t>
      </w:r>
    </w:p>
    <w:tbl>
      <w:tblPr>
        <w:tblW w:w="5188" w:type="dxa"/>
        <w:jc w:val="left"/>
        <w:tblInd w:w="0" w:type="dxa"/>
        <w:tblLayout w:type="fixed"/>
        <w:tblCellMar>
          <w:top w:w="28" w:type="dxa"/>
          <w:left w:w="28" w:type="dxa"/>
          <w:bottom w:w="28" w:type="dxa"/>
          <w:right w:w="28" w:type="dxa"/>
        </w:tblCellMar>
      </w:tblPr>
      <w:tblGrid>
        <w:gridCol w:w="3586"/>
        <w:gridCol w:w="146"/>
        <w:gridCol w:w="470"/>
        <w:gridCol w:w="775"/>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liability as of December 31, 2022</w:t>
            </w:r>
          </w:p>
        </w:tc>
        <w:tc>
          <w:tcPr>
            <w:tcW w:w="146"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5"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Charges</w:t>
            </w:r>
          </w:p>
        </w:tc>
        <w:tc>
          <w:tcPr>
            <w:tcW w:w="146"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w:t>
            </w:r>
          </w:p>
        </w:tc>
        <w:tc>
          <w:tcPr>
            <w:tcW w:w="146"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liability as of September 30, 2023</w:t>
            </w:r>
          </w:p>
        </w:tc>
        <w:tc>
          <w:tcPr>
            <w:tcW w:w="146" w:type="dxa"/>
            <w:tcBorders/>
            <w:shd w:fill="FFFFFF" w:val="clear"/>
            <w:vAlign w:val="center"/>
          </w:tcPr>
          <w:p>
            <w:pPr>
              <w:pStyle w:val="TableContents"/>
              <w:bidi w:val="0"/>
              <w:spacing w:before="0" w:after="283"/>
              <w:jc w:val="left"/>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NOTE 6: DEBT</w:t>
      </w:r>
      <w:r>
        <w:rPr>
          <w:rFonts w:ascii="Times New Roman" w:hAnsi="Times New Roman"/>
          <w:color w:val="000000"/>
          <w:sz w:val="20"/>
        </w:rPr>
        <w:t xml:space="preserve">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Company’s outstanding debt consisted of the following as of the dates presented:</w:t>
      </w:r>
    </w:p>
    <w:tbl>
      <w:tblPr>
        <w:tblW w:w="10142" w:type="dxa"/>
        <w:jc w:val="left"/>
        <w:tblInd w:w="0" w:type="dxa"/>
        <w:tblLayout w:type="fixed"/>
        <w:tblCellMar>
          <w:top w:w="28" w:type="dxa"/>
          <w:left w:w="28" w:type="dxa"/>
          <w:bottom w:w="28" w:type="dxa"/>
          <w:right w:w="28" w:type="dxa"/>
        </w:tblCellMar>
      </w:tblPr>
      <w:tblGrid>
        <w:gridCol w:w="1951"/>
        <w:gridCol w:w="146"/>
        <w:gridCol w:w="899"/>
        <w:gridCol w:w="1801"/>
        <w:gridCol w:w="146"/>
        <w:gridCol w:w="146"/>
        <w:gridCol w:w="1273"/>
        <w:gridCol w:w="1637"/>
        <w:gridCol w:w="166"/>
        <w:gridCol w:w="146"/>
        <w:gridCol w:w="479"/>
        <w:gridCol w:w="961"/>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51" w:type="dxa"/>
            <w:gridSpan w:val="1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91" w:type="dxa"/>
            <w:tcBorders/>
            <w:shd w:fill="FFFFFF" w:val="cle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7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9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2025 Senior Notes</w:t>
            </w:r>
          </w:p>
        </w:tc>
        <w:tc>
          <w:tcPr>
            <w:tcW w:w="14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2026 Senior Notes</w:t>
            </w:r>
          </w:p>
        </w:tc>
        <w:tc>
          <w:tcPr>
            <w:tcW w:w="146" w:type="dxa"/>
            <w:tcBorders/>
            <w:shd w:fill="CFF0FC" w:val="cle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51" w:type="dxa"/>
            <w:gridSpan w:val="1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91" w:type="dxa"/>
            <w:tcBorders/>
            <w:shd w:fill="FFFFFF" w:val="cle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7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9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2025 Senior Notes</w:t>
            </w:r>
          </w:p>
        </w:tc>
        <w:tc>
          <w:tcPr>
            <w:tcW w:w="14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2026 Senior Notes</w:t>
            </w:r>
          </w:p>
        </w:tc>
        <w:tc>
          <w:tcPr>
            <w:tcW w:w="146" w:type="dxa"/>
            <w:tcBorders/>
            <w:shd w:fill="CFF0FC" w:val="cle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Credit Facility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party to a credit agreement with a group of lenders initially entered into in June 2015 (as amended, the “Credit Agreement”), which, among other things, provides for a $500</w:t>
      </w:r>
      <w:r>
        <w:rPr>
          <w:rFonts w:ascii="Times New Roman" w:hAnsi="Times New Roman"/>
          <w:color w:val="000000"/>
          <w:sz w:val="20"/>
        </w:rPr>
        <w:t xml:space="preserve"> </w:t>
      </w:r>
      <w:r>
        <w:rPr>
          <w:rFonts w:ascii="Times New Roman" w:hAnsi="Times New Roman"/>
          <w:b w:val="false"/>
          <w:color w:val="000000"/>
          <w:sz w:val="20"/>
        </w:rPr>
        <w:t>million secured revolving credit facility (the “Credit Facility”). On May 8, 2023, the Company declared a “Covenant Changeover Date” (as defined in the Credit Agreement), thereby declaring the Company out of the financial covenant holiday and no longer subject to certain of the restrictive covenants contained in the Credit Agreement. Following that, on June 29, 2023, we amended and restated the Credit Agreement (the "Restated Credit Agreement") to, among other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things, (i) extend the maturity date of the Credit Facility from May 12, 2024 to June 29, 2028</w:t>
      </w:r>
      <w:r>
        <w:rPr>
          <w:rFonts w:ascii="Times New Roman" w:hAnsi="Times New Roman"/>
          <w:color w:val="000000"/>
          <w:sz w:val="20"/>
        </w:rPr>
        <w:t xml:space="preserve"> </w:t>
      </w:r>
      <w:r>
        <w:rPr>
          <w:rFonts w:ascii="Times New Roman" w:hAnsi="Times New Roman"/>
          <w:b w:val="false"/>
          <w:color w:val="000000"/>
          <w:sz w:val="20"/>
        </w:rPr>
        <w:t>(unless, on any date that is 91</w:t>
      </w:r>
      <w:r>
        <w:rPr>
          <w:rFonts w:ascii="Times New Roman" w:hAnsi="Times New Roman"/>
          <w:color w:val="000000"/>
          <w:sz w:val="20"/>
        </w:rPr>
        <w:t xml:space="preserve"> </w:t>
      </w:r>
      <w:r>
        <w:rPr>
          <w:rFonts w:ascii="Times New Roman" w:hAnsi="Times New Roman"/>
          <w:b w:val="false"/>
          <w:color w:val="000000"/>
          <w:sz w:val="20"/>
        </w:rPr>
        <w:t>days prior to the final scheduled maturity date in respect of any indebtedness outstanding under certain “specified debt", the aggregate outstanding principal amount of such specified debt</w:t>
      </w:r>
      <w:r>
        <w:rPr>
          <w:rFonts w:ascii="Times New Roman" w:hAnsi="Times New Roman"/>
          <w:color w:val="000000"/>
          <w:sz w:val="20"/>
        </w:rPr>
        <w:t xml:space="preserve"> </w:t>
      </w:r>
      <w:r>
        <w:rPr>
          <w:rFonts w:ascii="Times New Roman" w:hAnsi="Times New Roman"/>
          <w:b w:val="false"/>
          <w:color w:val="000000"/>
          <w:sz w:val="20"/>
        </w:rPr>
        <w:t>is $200</w:t>
      </w:r>
      <w:r>
        <w:rPr>
          <w:rFonts w:ascii="Times New Roman" w:hAnsi="Times New Roman"/>
          <w:color w:val="000000"/>
          <w:sz w:val="20"/>
        </w:rPr>
        <w:t xml:space="preserve"> </w:t>
      </w:r>
      <w:r>
        <w:rPr>
          <w:rFonts w:ascii="Times New Roman" w:hAnsi="Times New Roman"/>
          <w:b w:val="false"/>
          <w:color w:val="000000"/>
          <w:sz w:val="20"/>
        </w:rPr>
        <w:t>million or more then the maturity date will be such business day); (ii) maintain the aggregate amount of revolving commitments available at $500</w:t>
      </w:r>
      <w:r>
        <w:rPr>
          <w:rFonts w:ascii="Times New Roman" w:hAnsi="Times New Roman"/>
          <w:color w:val="000000"/>
          <w:sz w:val="20"/>
        </w:rPr>
        <w:t xml:space="preserve"> </w:t>
      </w:r>
      <w:r>
        <w:rPr>
          <w:rFonts w:ascii="Times New Roman" w:hAnsi="Times New Roman"/>
          <w:b w:val="false"/>
          <w:color w:val="000000"/>
          <w:sz w:val="20"/>
        </w:rPr>
        <w:t>million; (iii) increase the total net leverage ratio from 3.5</w:t>
      </w:r>
      <w:r>
        <w:rPr>
          <w:rFonts w:ascii="Times New Roman" w:hAnsi="Times New Roman"/>
          <w:color w:val="000000"/>
          <w:sz w:val="20"/>
        </w:rPr>
        <w:t xml:space="preserve"> </w:t>
      </w:r>
      <w:r>
        <w:rPr>
          <w:rFonts w:ascii="Times New Roman" w:hAnsi="Times New Roman"/>
          <w:b w:val="false"/>
          <w:color w:val="000000"/>
          <w:sz w:val="20"/>
        </w:rPr>
        <w:t>to 1.0 to 4.5</w:t>
      </w:r>
      <w:r>
        <w:rPr>
          <w:rFonts w:ascii="Times New Roman" w:hAnsi="Times New Roman"/>
          <w:color w:val="000000"/>
          <w:sz w:val="20"/>
        </w:rPr>
        <w:t xml:space="preserve"> </w:t>
      </w:r>
      <w:r>
        <w:rPr>
          <w:rFonts w:ascii="Times New Roman" w:hAnsi="Times New Roman"/>
          <w:b w:val="false"/>
          <w:color w:val="000000"/>
          <w:sz w:val="20"/>
        </w:rPr>
        <w:t>to 1.0; and (iv) replace the LIBOR interest rate benchmark with a secured overnight financing rate ("SOFR") interest rate benchmark.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may borrow from the Credit Facility in U.S dollars, Euros and Sterling. Borrowings under the Credit Facility generally bear interest, at the Company’s option, at a rate per annum equal to either (i) the Term Benchmark Borrowing rate, or the EURIBO rate for the interest period in effect for such borrowings in Euro; plus an applicable margin ranging from 1.75% to 2.50% (“Term Benchmark/RFP Spread”), based on the Company’s total net leverage ratio; (ii) the RFP Borrowing rate, or the Daily Simple Sterling Overnight Interbank Average rate for the interest period in effect for such borrowings in Sterling, plus the Term Benchmark/RFP Spread, based on the Company’s total net leverage ratio; or (iii) the Alternate Base Rate (“ABR”) Borrowing, which is the greatest of (a) the Prime Rate in effect on such day, (b) the New York Fed Bank Rate in effect on such day plus 1/2</w:t>
      </w:r>
      <w:r>
        <w:rPr>
          <w:rFonts w:ascii="Times New Roman" w:hAnsi="Times New Roman"/>
          <w:color w:val="000000"/>
          <w:sz w:val="20"/>
        </w:rPr>
        <w:t xml:space="preserve"> </w:t>
      </w:r>
      <w:r>
        <w:rPr>
          <w:rFonts w:ascii="Times New Roman" w:hAnsi="Times New Roman"/>
          <w:b w:val="false"/>
          <w:color w:val="000000"/>
          <w:sz w:val="20"/>
        </w:rPr>
        <w:t>of 1.00% per annum,</w:t>
      </w:r>
      <w:r>
        <w:rPr>
          <w:rFonts w:ascii="Times New Roman" w:hAnsi="Times New Roman"/>
          <w:color w:val="000000"/>
          <w:sz w:val="20"/>
        </w:rPr>
        <w:t xml:space="preserve"> </w:t>
      </w:r>
      <w:r>
        <w:rPr>
          <w:rFonts w:ascii="Times New Roman" w:hAnsi="Times New Roman"/>
          <w:b w:val="false"/>
          <w:color w:val="000000"/>
          <w:sz w:val="20"/>
        </w:rPr>
        <w:t>and (c) the Term Benchmark Borrowing rate, or Adjusted Term SOFR for an interest period of one month as published two US Government Securities Business Days prior to such day (or if such day is not a US Government Securities Business Day, the immediately preceding US Government Securities Business Day) plus 1.00% per annum; in addition to an applicable margin ranging from 0.75% to 1.50%, based on the Company’s total net leverage ratio. In addition, we are required to pay a quarterly commitment fee, at an applicable rate ranging from 0.25% to 0.40%, on the daily unused portion of the Credit Facility for each fiscal quarter and in connection with the issuance of letters of credit. As of September 30, 2023, our unused revolver capacity was subject to a commitment fee of 0.25%, given the Company’s total net leverage ratio.</w:t>
      </w:r>
      <w:r>
        <w:rPr>
          <w:rFonts w:ascii="Times New Roman" w:hAnsi="Times New Roman"/>
          <w:color w:val="000000"/>
          <w:sz w:val="20"/>
        </w:rPr>
        <w:t xml:space="preserve"> </w:t>
      </w:r>
      <w:r>
        <w:rPr>
          <w:rFonts w:ascii="Times New Roman" w:hAnsi="Times New Roman"/>
          <w:b w:val="false"/>
          <w:color w:val="000000"/>
          <w:sz w:val="20"/>
        </w:rPr>
        <w:t>In addition, the Credit Facility includes $15</w:t>
      </w:r>
      <w:r>
        <w:rPr>
          <w:rFonts w:ascii="Times New Roman" w:hAnsi="Times New Roman"/>
          <w:color w:val="000000"/>
          <w:sz w:val="20"/>
        </w:rPr>
        <w:t xml:space="preserve"> </w:t>
      </w:r>
      <w:r>
        <w:rPr>
          <w:rFonts w:ascii="Times New Roman" w:hAnsi="Times New Roman"/>
          <w:b w:val="false"/>
          <w:color w:val="000000"/>
          <w:sz w:val="20"/>
        </w:rPr>
        <w:t>million of borrowing capacity available for letters of credit and $40</w:t>
      </w:r>
      <w:r>
        <w:rPr>
          <w:rFonts w:ascii="Times New Roman" w:hAnsi="Times New Roman"/>
          <w:color w:val="000000"/>
          <w:sz w:val="20"/>
        </w:rPr>
        <w:t xml:space="preserve"> </w:t>
      </w:r>
      <w:r>
        <w:rPr>
          <w:rFonts w:ascii="Times New Roman" w:hAnsi="Times New Roman"/>
          <w:b w:val="false"/>
          <w:color w:val="000000"/>
          <w:sz w:val="20"/>
        </w:rPr>
        <w:t>million for swing line borrowings on same-day notice.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the Company had no</w:t>
      </w:r>
      <w:r>
        <w:rPr>
          <w:rFonts w:ascii="Times New Roman" w:hAnsi="Times New Roman"/>
          <w:color w:val="000000"/>
          <w:sz w:val="20"/>
        </w:rPr>
        <w:t xml:space="preserve"> </w:t>
      </w:r>
      <w:r>
        <w:rPr>
          <w:rFonts w:ascii="Times New Roman" w:hAnsi="Times New Roman"/>
          <w:b w:val="false"/>
          <w:color w:val="000000"/>
          <w:sz w:val="20"/>
        </w:rPr>
        <w:t>outstanding borrowings under the Credit Facility</w:t>
      </w:r>
      <w:r>
        <w:rPr>
          <w:rFonts w:ascii="Times New Roman" w:hAnsi="Times New Roman"/>
          <w:color w:val="000000"/>
          <w:sz w:val="20"/>
        </w:rPr>
        <w:t xml:space="preserve"> </w:t>
      </w:r>
      <w:r>
        <w:rPr>
          <w:rFonts w:ascii="Times New Roman" w:hAnsi="Times New Roman"/>
          <w:b w:val="false"/>
          <w:color w:val="000000"/>
          <w:sz w:val="20"/>
        </w:rPr>
        <w:t>and had issued $4</w:t>
      </w:r>
      <w:r>
        <w:rPr>
          <w:rFonts w:ascii="Times New Roman" w:hAnsi="Times New Roman"/>
          <w:color w:val="000000"/>
          <w:sz w:val="20"/>
        </w:rPr>
        <w:t xml:space="preserve"> </w:t>
      </w:r>
      <w:r>
        <w:rPr>
          <w:rFonts w:ascii="Times New Roman" w:hAnsi="Times New Roman"/>
          <w:b w:val="false"/>
          <w:color w:val="000000"/>
          <w:sz w:val="20"/>
        </w:rPr>
        <w:t>million of undrawn standby letters of credit under the Credit Facility. For the three months ended September 30, 2023</w:t>
      </w:r>
      <w:r>
        <w:rPr>
          <w:rFonts w:ascii="Times New Roman" w:hAnsi="Times New Roman"/>
          <w:color w:val="000000"/>
          <w:sz w:val="20"/>
        </w:rPr>
        <w:t xml:space="preserve"> </w:t>
      </w:r>
      <w:r>
        <w:rPr>
          <w:rFonts w:ascii="Times New Roman" w:hAnsi="Times New Roman"/>
          <w:b w:val="false"/>
          <w:color w:val="000000"/>
          <w:sz w:val="20"/>
        </w:rPr>
        <w:t>and 2022, and the nine months ended September 30, 2023, total interest expense and commitment fees on our Credit Facility was not material, while during the nine months ended September 30, 2022, we recorded total interest expense and commitment fees on the Credit Facility of $1</w:t>
      </w:r>
      <w:r>
        <w:rPr>
          <w:rFonts w:ascii="Times New Roman" w:hAnsi="Times New Roman"/>
          <w:color w:val="000000"/>
          <w:sz w:val="20"/>
        </w:rPr>
        <w:t xml:space="preserve"> </w:t>
      </w:r>
      <w:r>
        <w:rPr>
          <w:rFonts w:ascii="Times New Roman" w:hAnsi="Times New Roman"/>
          <w:b w:val="false"/>
          <w:color w:val="000000"/>
          <w:sz w:val="20"/>
        </w:rPr>
        <w:t>million to interest expense on our unaudited condensed consolidated statement of operations. In connection with the Restated Credit Agreement, we incurred lender fees and other debt financing costs of approximately $3</w:t>
      </w:r>
      <w:r>
        <w:rPr>
          <w:rFonts w:ascii="Times New Roman" w:hAnsi="Times New Roman"/>
          <w:color w:val="000000"/>
          <w:sz w:val="20"/>
        </w:rPr>
        <w:t xml:space="preserve"> </w:t>
      </w:r>
      <w:r>
        <w:rPr>
          <w:rFonts w:ascii="Times New Roman" w:hAnsi="Times New Roman"/>
          <w:b w:val="false"/>
          <w:color w:val="000000"/>
          <w:sz w:val="20"/>
        </w:rPr>
        <w:t>million. These costs were capitalized as deferred financing costs in other long-term assets on our unaudited consolidated balance sheet, while deferred financing costs incurred in previous amendments, which were immediately recognized to interest expense on our unaudited condensed consolidated statements of operations, were not material. As of September 30, 2023, the Company had $4</w:t>
      </w:r>
      <w:r>
        <w:rPr>
          <w:rFonts w:ascii="Times New Roman" w:hAnsi="Times New Roman"/>
          <w:color w:val="000000"/>
          <w:sz w:val="20"/>
        </w:rPr>
        <w:t xml:space="preserve"> </w:t>
      </w:r>
      <w:r>
        <w:rPr>
          <w:rFonts w:ascii="Times New Roman" w:hAnsi="Times New Roman"/>
          <w:b w:val="false"/>
          <w:color w:val="000000"/>
          <w:sz w:val="20"/>
        </w:rPr>
        <w:t>million remaining in deferred financing costs in connection with the Credit Facility. These costs will be amortized over the remaining term of the Credit Facility, using the effective interest rate method, and recorded to interest expense on our unaudited condensed consolidated statement of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Term Benchmark and RFP interest rate-based loans. Additionally, the Company believes that the likelihood of the lender exercising any subjective acceleration rights, which would permit the lenders to accelerate repayment of any outstanding borrowings, is remote. As such, we intend to classify any future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In addition, to secure the obligations under the Credit Agreement, the Company and certain subsidiaries have granted security interests and liens in and on substantially all of their assets as well as pledged shares of certain of the Company’s subsidiaries. The Credit Agreement requires us to maintain a maximum total net leverage ratio and contains certain customary affirmative and negative covenants and events of default, including a change of control. If an event of default occurs, the lenders under the Credit Agreement will be entitled to take various actions, including the acceleration of all amounts due under the Credit Facility. As of September 30, 2023 and December 31, 2022, the Company was in compliance with its existing covenants.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Senior Notes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2020, the Company issued $500</w:t>
      </w:r>
      <w:r>
        <w:rPr>
          <w:rFonts w:ascii="Times New Roman" w:hAnsi="Times New Roman"/>
          <w:color w:val="000000"/>
          <w:sz w:val="20"/>
        </w:rPr>
        <w:t xml:space="preserve"> </w:t>
      </w:r>
      <w:r>
        <w:rPr>
          <w:rFonts w:ascii="Times New Roman" w:hAnsi="Times New Roman"/>
          <w:b w:val="false"/>
          <w:color w:val="000000"/>
          <w:sz w:val="20"/>
        </w:rPr>
        <w:t>million of outstanding aggregate principal amount of 7.0% Senior Notes due 2025 (the “2025 Senior Notes”). The 2025 Senior Notes are governed by an indenture dated July 9, 2020</w:t>
      </w:r>
      <w:r>
        <w:rPr>
          <w:rFonts w:ascii="Times New Roman" w:hAnsi="Times New Roman"/>
          <w:color w:val="000000"/>
          <w:sz w:val="20"/>
        </w:rPr>
        <w:t xml:space="preserve"> </w:t>
      </w:r>
      <w:r>
        <w:rPr>
          <w:rFonts w:ascii="Times New Roman" w:hAnsi="Times New Roman"/>
          <w:b w:val="false"/>
          <w:color w:val="000000"/>
          <w:sz w:val="20"/>
        </w:rPr>
        <w:t>(the “2025 Indenture”), among the Company, the guarantors and the trustee. The 2025 Indenture provides, among other things, that interest is payable on the 2025 Senior Notes semiannually on January 15 and July 15 of each year, and continues until their maturity date of July 15, 2025. The 2025 Senior Notes are senior unsecured obligations of the Company and are unconditionally guaranteed on a joint and several basis, by certain of</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domestic subsidiaries. The Company has the option to redeem all or a portion of the 2025 Senior Notes at the redemption prices set forth in the 2025 Indenture, plus accrued and unpaid interest, if any.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unpaid interest on the 2025 Senior Notes totaled approximately $7</w:t>
      </w:r>
      <w:r>
        <w:rPr>
          <w:rFonts w:ascii="Times New Roman" w:hAnsi="Times New Roman"/>
          <w:color w:val="000000"/>
          <w:sz w:val="20"/>
        </w:rPr>
        <w:t xml:space="preserve"> </w:t>
      </w:r>
      <w:r>
        <w:rPr>
          <w:rFonts w:ascii="Times New Roman" w:hAnsi="Times New Roman"/>
          <w:b w:val="false"/>
          <w:color w:val="000000"/>
          <w:sz w:val="20"/>
        </w:rPr>
        <w:t>million and $16</w:t>
      </w:r>
      <w:r>
        <w:rPr>
          <w:rFonts w:ascii="Times New Roman" w:hAnsi="Times New Roman"/>
          <w:color w:val="000000"/>
          <w:sz w:val="20"/>
        </w:rPr>
        <w:t xml:space="preserve"> </w:t>
      </w:r>
      <w:r>
        <w:rPr>
          <w:rFonts w:ascii="Times New Roman" w:hAnsi="Times New Roman"/>
          <w:b w:val="false"/>
          <w:color w:val="000000"/>
          <w:sz w:val="20"/>
        </w:rPr>
        <w:t>million, respectively, and was included in accrued expenses and other current liabilities on our unaudited condensed consolidated balance sheets. During each of the three months ended September 30, 2023 and 2022, we recorded interest expense of $9</w:t>
      </w:r>
      <w:r>
        <w:rPr>
          <w:rFonts w:ascii="Times New Roman" w:hAnsi="Times New Roman"/>
          <w:color w:val="000000"/>
          <w:sz w:val="20"/>
        </w:rPr>
        <w:t xml:space="preserve"> </w:t>
      </w:r>
      <w:r>
        <w:rPr>
          <w:rFonts w:ascii="Times New Roman" w:hAnsi="Times New Roman"/>
          <w:b w:val="false"/>
          <w:color w:val="000000"/>
          <w:sz w:val="20"/>
        </w:rPr>
        <w:t>million, and during each of the nine months ended September 30, 2023 and 2022, we recorded interest expense of $26</w:t>
      </w:r>
      <w:r>
        <w:rPr>
          <w:rFonts w:ascii="Times New Roman" w:hAnsi="Times New Roman"/>
          <w:color w:val="000000"/>
          <w:sz w:val="20"/>
        </w:rPr>
        <w:t xml:space="preserve"> </w:t>
      </w:r>
      <w:r>
        <w:rPr>
          <w:rFonts w:ascii="Times New Roman" w:hAnsi="Times New Roman"/>
          <w:b w:val="false"/>
          <w:color w:val="000000"/>
          <w:sz w:val="20"/>
        </w:rPr>
        <w:t>million on our unaudited condensed consolidated statements of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2025 Indenture contains covenants that, among other things and subject to certain exceptions and qualifications, restrict the ability of the Company and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2026 Senior Notes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2021, the Company issued $345</w:t>
      </w:r>
      <w:r>
        <w:rPr>
          <w:rFonts w:ascii="Times New Roman" w:hAnsi="Times New Roman"/>
          <w:color w:val="000000"/>
          <w:sz w:val="20"/>
        </w:rPr>
        <w:t xml:space="preserve"> </w:t>
      </w:r>
      <w:r>
        <w:rPr>
          <w:rFonts w:ascii="Times New Roman" w:hAnsi="Times New Roman"/>
          <w:b w:val="false"/>
          <w:color w:val="000000"/>
          <w:sz w:val="20"/>
        </w:rPr>
        <w:t>million in outstanding aggregate principal amount of 0.25% Convertible Senior Notes due 2026 (the “2026 Senior Notes”). The Company also entered into an Indenture dated March 25, 2021</w:t>
      </w:r>
      <w:r>
        <w:rPr>
          <w:rFonts w:ascii="Times New Roman" w:hAnsi="Times New Roman"/>
          <w:color w:val="000000"/>
          <w:sz w:val="20"/>
        </w:rPr>
        <w:t xml:space="preserve"> </w:t>
      </w:r>
      <w:r>
        <w:rPr>
          <w:rFonts w:ascii="Times New Roman" w:hAnsi="Times New Roman"/>
          <w:b w:val="false"/>
          <w:color w:val="000000"/>
          <w:sz w:val="20"/>
        </w:rPr>
        <w:t>(the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and are unconditionally guaranteed on a joint and several basis by certain of the Company’s domestic subsidiaries, with interest payable semiannually</w:t>
      </w:r>
      <w:r>
        <w:rPr>
          <w:rFonts w:ascii="Times New Roman" w:hAnsi="Times New Roman"/>
          <w:color w:val="000000"/>
          <w:sz w:val="20"/>
        </w:rPr>
        <w:t xml:space="preserve"> </w:t>
      </w:r>
      <w:r>
        <w:rPr>
          <w:rFonts w:ascii="Times New Roman" w:hAnsi="Times New Roman"/>
          <w:b w:val="false"/>
          <w:color w:val="000000"/>
          <w:sz w:val="20"/>
        </w:rPr>
        <w:t>in arrears on April 1 and October 1 of each year. During the three and nine months ended September 30, 2023 and 2022, our effective interest rate, including debt issuance costs, was approximately 0.40%</w:t>
      </w:r>
      <w:r>
        <w:rPr>
          <w:rFonts w:ascii="Times New Roman" w:hAnsi="Times New Roman"/>
          <w:color w:val="000000"/>
          <w:sz w:val="20"/>
        </w:rPr>
        <w:t xml:space="preserve"> </w:t>
      </w:r>
      <w:r>
        <w:rPr>
          <w:rFonts w:ascii="Times New Roman" w:hAnsi="Times New Roman"/>
          <w:b w:val="false"/>
          <w:color w:val="000000"/>
          <w:sz w:val="20"/>
        </w:rPr>
        <w:t>and approximately 0.50%, respectively, and total interest expense on our 2026 Senior Notes was not material during the three months ended September 30, 2023 and 2022, while this amount was $1</w:t>
      </w:r>
      <w:r>
        <w:rPr>
          <w:rFonts w:ascii="Times New Roman" w:hAnsi="Times New Roman"/>
          <w:color w:val="000000"/>
          <w:sz w:val="20"/>
        </w:rPr>
        <w:t xml:space="preserve"> </w:t>
      </w:r>
      <w:r>
        <w:rPr>
          <w:rFonts w:ascii="Times New Roman" w:hAnsi="Times New Roman"/>
          <w:b w:val="false"/>
          <w:color w:val="000000"/>
          <w:sz w:val="20"/>
        </w:rPr>
        <w:t>million during each of the nine months ended September 30, 2023 and 2022</w:t>
      </w:r>
      <w:r>
        <w:rPr>
          <w:rFonts w:ascii="Times New Roman" w:hAnsi="Times New Roman"/>
          <w:b w:val="false"/>
          <w:color w:val="212529"/>
          <w:sz w:val="20"/>
        </w:rPr>
        <w:t xml:space="preserve">. </w:t>
      </w:r>
      <w:r>
        <w:rPr>
          <w:rFonts w:ascii="Times New Roman" w:hAnsi="Times New Roman"/>
          <w:b w:val="false"/>
          <w:color w:val="000000"/>
          <w:sz w:val="20"/>
        </w:rPr>
        <w:t>As of September 30, 2023 and December 31, 2022, unpaid interest on the 2026 Senior Notes was also not material.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initial conversion rate for the 2026 Senior Notes is 13.5483</w:t>
      </w:r>
      <w:r>
        <w:rPr>
          <w:rFonts w:ascii="Times New Roman" w:hAnsi="Times New Roman"/>
          <w:color w:val="000000"/>
          <w:sz w:val="20"/>
        </w:rPr>
        <w:t xml:space="preserve"> </w:t>
      </w:r>
      <w:r>
        <w:rPr>
          <w:rFonts w:ascii="Times New Roman" w:hAnsi="Times New Roman"/>
          <w:b w:val="false"/>
          <w:color w:val="000000"/>
          <w:sz w:val="20"/>
        </w:rPr>
        <w:t>shares of common stock per $1,000</w:t>
      </w:r>
      <w:r>
        <w:rPr>
          <w:rFonts w:ascii="Times New Roman" w:hAnsi="Times New Roman"/>
          <w:color w:val="000000"/>
          <w:sz w:val="20"/>
        </w:rPr>
        <w:t xml:space="preserve"> </w:t>
      </w:r>
      <w:r>
        <w:rPr>
          <w:rFonts w:ascii="Times New Roman" w:hAnsi="Times New Roman"/>
          <w:b w:val="false"/>
          <w:color w:val="000000"/>
          <w:sz w:val="20"/>
        </w:rPr>
        <w:t>principal amount of 2026 Senior Notes, which is equivalent to an initial conversion price of approximately $73.81</w:t>
      </w:r>
      <w:r>
        <w:rPr>
          <w:rFonts w:ascii="Times New Roman" w:hAnsi="Times New Roman"/>
          <w:color w:val="000000"/>
          <w:sz w:val="20"/>
        </w:rPr>
        <w:t xml:space="preserve"> </w:t>
      </w:r>
      <w:r>
        <w:rPr>
          <w:rFonts w:ascii="Times New Roman" w:hAnsi="Times New Roman"/>
          <w:b w:val="false"/>
          <w:color w:val="000000"/>
          <w:sz w:val="20"/>
        </w:rPr>
        <w:t>per share of common stock, or approximately 4.7</w:t>
      </w:r>
      <w:r>
        <w:rPr>
          <w:rFonts w:ascii="Times New Roman" w:hAnsi="Times New Roman"/>
          <w:color w:val="000000"/>
          <w:sz w:val="20"/>
        </w:rPr>
        <w:t xml:space="preserve"> </w:t>
      </w:r>
      <w:r>
        <w:rPr>
          <w:rFonts w:ascii="Times New Roman" w:hAnsi="Times New Roman"/>
          <w:b w:val="false"/>
          <w:color w:val="000000"/>
          <w:sz w:val="20"/>
        </w:rPr>
        <w:t>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accounts for the 2026 Senior Notes as a liability measured at its amortized cost, and no other features of the 2026 Senior Notes are bifurcated and recognized as a derivative. The 2026 Senior Notes are unsecured and do not contain any financial covenants, restrictions on dividends, restrictions on the incurrence of senior debt or other indebtedness, or restrictions on the issuance or repurchase of securities by the Company.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Refer to “Note 9: </w:t>
      </w:r>
      <w:r>
        <w:rPr>
          <w:rFonts w:ascii="Times New Roman" w:hAnsi="Times New Roman"/>
          <w:b w:val="false"/>
          <w:i/>
          <w:color w:val="000000"/>
          <w:sz w:val="20"/>
        </w:rPr>
        <w:t>Debt</w:t>
      </w:r>
      <w:r>
        <w:rPr>
          <w:rFonts w:ascii="Times New Roman" w:hAnsi="Times New Roman"/>
          <w:color w:val="000000"/>
          <w:sz w:val="20"/>
        </w:rPr>
        <w:t xml:space="preserve">” </w:t>
      </w:r>
      <w:r>
        <w:rPr>
          <w:rFonts w:ascii="Times New Roman" w:hAnsi="Times New Roman"/>
          <w:b w:val="false"/>
          <w:color w:val="000000"/>
          <w:sz w:val="20"/>
        </w:rPr>
        <w:t>in the notes to consolidated financial statements in Item 8 of our Annual Report on Form 10-K for the year ended December 31, 2022, for additional information pertaining to redemption, conversion, and repurchase features or terms regarding the 2025 Senior Notes and the 2026 Senior Notes.</w:t>
      </w:r>
    </w:p>
    <w:p>
      <w:pPr>
        <w:pStyle w:val="TextBody"/>
        <w:bidi w:val="0"/>
        <w:spacing w:before="240" w:after="283"/>
        <w:jc w:val="both"/>
        <w:rPr>
          <w:rFonts w:ascii="Times New Roman" w:hAnsi="Times New Roman"/>
          <w:b/>
          <w:i/>
          <w:color w:val="2C2C2C"/>
          <w:sz w:val="20"/>
        </w:rPr>
      </w:pPr>
      <w:r>
        <w:rPr>
          <w:rFonts w:ascii="Times New Roman" w:hAnsi="Times New Roman"/>
          <w:b/>
          <w:i/>
          <w:color w:val="2C2C2C"/>
          <w:sz w:val="20"/>
        </w:rPr>
        <w:t>Capped Call Transactions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w:t>
      </w:r>
      <w:r>
        <w:rPr>
          <w:rFonts w:ascii="Times New Roman" w:hAnsi="Times New Roman"/>
          <w:color w:val="000000"/>
          <w:sz w:val="20"/>
        </w:rPr>
        <w:t xml:space="preserve"> </w:t>
      </w:r>
      <w:r>
        <w:rPr>
          <w:rFonts w:ascii="Times New Roman" w:hAnsi="Times New Roman"/>
          <w:b w:val="false"/>
          <w:color w:val="000000"/>
          <w:sz w:val="20"/>
        </w:rPr>
        <w:t>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Capped Calls cover, subject to anti-dilution adjustments substantially similar to those applicable to the conversion rate of the 2026 Senior Notes, the number of shares of common stock initially underlying the 2026 Senior Notes, or up to approximately 4.7</w:t>
      </w:r>
      <w:r>
        <w:rPr>
          <w:rFonts w:ascii="Times New Roman" w:hAnsi="Times New Roman"/>
          <w:color w:val="000000"/>
          <w:sz w:val="20"/>
        </w:rPr>
        <w:t xml:space="preserve"> </w:t>
      </w:r>
      <w:r>
        <w:rPr>
          <w:rFonts w:ascii="Times New Roman" w:hAnsi="Times New Roman"/>
          <w:b w:val="false"/>
          <w:color w:val="000000"/>
          <w:sz w:val="20"/>
        </w:rPr>
        <w:t>million shares of our common stock. The Capped Calls are expected generally to reduce potential dilution to the common stock upon any conversion of 2026 Senior Notes and/or offset any potential cash payments the Company is required to make in excess of the principal amount of such converted 2026 Senior Notes, as the case may be, with such reduction and/or offset subject to a cap. The strike price of the Capped Calls is $73.81, while the cap price of the Capped Calls will initially be $107.36</w:t>
      </w:r>
      <w:r>
        <w:rPr>
          <w:rFonts w:ascii="Times New Roman" w:hAnsi="Times New Roman"/>
          <w:color w:val="000000"/>
          <w:sz w:val="20"/>
        </w:rPr>
        <w:t xml:space="preserve"> </w:t>
      </w:r>
      <w:r>
        <w:rPr>
          <w:rFonts w:ascii="Times New Roman" w:hAnsi="Times New Roman"/>
          <w:b w:val="false"/>
          <w:color w:val="000000"/>
          <w:sz w:val="20"/>
        </w:rPr>
        <w:t>per share of our common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stock, which represents a premium of 100% over the closing price of our common stock of $53.68</w:t>
      </w:r>
      <w:r>
        <w:rPr>
          <w:rFonts w:ascii="Times New Roman" w:hAnsi="Times New Roman"/>
          <w:color w:val="000000"/>
          <w:sz w:val="20"/>
        </w:rPr>
        <w:t xml:space="preserve"> </w:t>
      </w:r>
      <w:r>
        <w:rPr>
          <w:rFonts w:ascii="Times New Roman" w:hAnsi="Times New Roman"/>
          <w:b w:val="false"/>
          <w:color w:val="000000"/>
          <w:sz w:val="20"/>
        </w:rPr>
        <w:t>per share on March 22, 2021, subject to certain customary adjustments under the terms of the Capped Calls.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Capped Calls are considered indexed to our own stock and are considered equity classified under GAAP, and included as a reduction to additional paid-in-capital within stockholders’ equity on the unaudited condensed consolidated balance sheets as of both September 30, 2023 and December 31, 2022. The Capped Calls are not accounted for as derivatives and their fair value is not remeasured each reporting period.</w:t>
      </w:r>
      <w:r>
        <w:rPr>
          <w:rFonts w:ascii="Times New Roman" w:hAnsi="Times New Roman"/>
          <w:color w:val="000000"/>
          <w:sz w:val="20"/>
        </w:rPr>
        <w:t xml:space="preserve"> </w:t>
      </w:r>
    </w:p>
    <w:p>
      <w:pPr>
        <w:pStyle w:val="TextBody"/>
        <w:bidi w:val="0"/>
        <w:spacing w:before="360" w:after="120"/>
        <w:jc w:val="left"/>
        <w:rPr>
          <w:rFonts w:ascii="Times New Roman" w:hAnsi="Times New Roman"/>
          <w:sz w:val="20"/>
        </w:rPr>
      </w:pPr>
      <w:r>
        <w:rPr>
          <w:rFonts w:ascii="Times New Roman" w:hAnsi="Times New Roman"/>
          <w:b/>
          <w:color w:val="000000"/>
          <w:sz w:val="20"/>
        </w:rPr>
        <w:t>NOTE 7: OTHER LONG-TERM LIABILITIES</w:t>
      </w:r>
      <w:r>
        <w:rPr>
          <w:rFonts w:ascii="Times New Roman" w:hAnsi="Times New Roman"/>
          <w:color w:val="000000"/>
          <w:sz w:val="20"/>
        </w:rPr>
        <w:t xml:space="preserve">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Other long-term liabilities consisted of the following as of the dates presented:</w:t>
      </w:r>
    </w:p>
    <w:tbl>
      <w:tblPr>
        <w:tblW w:w="7790" w:type="dxa"/>
        <w:jc w:val="left"/>
        <w:tblInd w:w="0" w:type="dxa"/>
        <w:tblLayout w:type="fixed"/>
        <w:tblCellMar>
          <w:top w:w="28" w:type="dxa"/>
          <w:left w:w="28" w:type="dxa"/>
          <w:bottom w:w="28" w:type="dxa"/>
          <w:right w:w="28" w:type="dxa"/>
        </w:tblCellMar>
      </w:tblPr>
      <w:tblGrid>
        <w:gridCol w:w="3916"/>
        <w:gridCol w:w="146"/>
        <w:gridCol w:w="514"/>
        <w:gridCol w:w="1031"/>
        <w:gridCol w:w="146"/>
        <w:gridCol w:w="146"/>
        <w:gridCol w:w="499"/>
        <w:gridCol w:w="100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Unrecognized tax benefits (1)</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gain on equity method investment (2)</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3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income taxes payable (3)</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 xml:space="preserve">Refer to “Note 8: </w:t>
      </w:r>
      <w:r>
        <w:rPr>
          <w:rFonts w:ascii="Times New Roman" w:hAnsi="Times New Roman"/>
          <w:b w:val="false"/>
          <w:i/>
          <w:color w:val="000000"/>
          <w:sz w:val="16"/>
        </w:rPr>
        <w:t>Income Taxes</w:t>
      </w:r>
      <w:r>
        <w:rPr>
          <w:rFonts w:ascii="Times New Roman" w:hAnsi="Times New Roman"/>
          <w:color w:val="000000"/>
          <w:sz w:val="20"/>
        </w:rPr>
        <w:t xml:space="preserve">” </w:t>
      </w:r>
      <w:r>
        <w:rPr>
          <w:rFonts w:ascii="Times New Roman" w:hAnsi="Times New Roman"/>
          <w:b w:val="false"/>
          <w:color w:val="000000"/>
          <w:sz w:val="16"/>
        </w:rPr>
        <w:t>for information regarding our unrecognized tax benefits. Amounts include accrued interest related to this liability.</w:t>
      </w:r>
      <w:r>
        <w:rPr>
          <w:rFonts w:ascii="Times New Roman" w:hAnsi="Times New Roman"/>
          <w:color w:val="000000"/>
          <w:sz w:val="20"/>
        </w:rPr>
        <w:t xml:space="preserve">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left"/>
        <w:rPr>
          <w:rFonts w:ascii="Times New Roman" w:hAnsi="Times New Roman"/>
          <w:sz w:val="20"/>
        </w:rPr>
      </w:pPr>
      <w:r>
        <w:rPr>
          <w:rFonts w:ascii="Times New Roman" w:hAnsi="Times New Roman"/>
          <w:b w:val="false"/>
          <w:color w:val="000000"/>
          <w:sz w:val="16"/>
        </w:rPr>
        <w:t xml:space="preserve">Amount relates to long-term portion of a deferred income liability recorded as a result of an equity method investment. Refer to “Note 4: </w:t>
      </w:r>
      <w:r>
        <w:rPr>
          <w:rFonts w:ascii="Times New Roman" w:hAnsi="Times New Roman"/>
          <w:b w:val="false"/>
          <w:i/>
          <w:color w:val="000000"/>
          <w:sz w:val="16"/>
        </w:rPr>
        <w:t>Financial Instruments and Fair Value Measurements</w:t>
      </w:r>
      <w:r>
        <w:rPr>
          <w:rFonts w:ascii="Times New Roman" w:hAnsi="Times New Roman"/>
          <w:color w:val="000000"/>
          <w:sz w:val="20"/>
        </w:rPr>
        <w:t xml:space="preserve">” </w:t>
      </w:r>
      <w:r>
        <w:rPr>
          <w:rFonts w:ascii="Times New Roman" w:hAnsi="Times New Roman"/>
          <w:b w:val="false"/>
          <w:color w:val="000000"/>
          <w:sz w:val="16"/>
        </w:rPr>
        <w:t>for additional information.</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(3)</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Amount relates to the long-term portion of transition tax payable related to the 2017 Tax Act.</w:t>
      </w:r>
    </w:p>
    <w:p>
      <w:pPr>
        <w:pStyle w:val="TextBody"/>
        <w:bidi w:val="0"/>
        <w:spacing w:before="360" w:after="283"/>
        <w:jc w:val="left"/>
        <w:rPr>
          <w:rFonts w:ascii="Times New Roman" w:hAnsi="Times New Roman"/>
          <w:sz w:val="20"/>
        </w:rPr>
      </w:pPr>
      <w:r>
        <w:rPr>
          <w:rFonts w:ascii="Times New Roman" w:hAnsi="Times New Roman"/>
          <w:b/>
          <w:color w:val="000000"/>
          <w:sz w:val="20"/>
        </w:rPr>
        <w:t>NOTE 8: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income tax provision was $37</w:t>
      </w:r>
      <w:r>
        <w:rPr>
          <w:rFonts w:ascii="Times New Roman" w:hAnsi="Times New Roman"/>
          <w:color w:val="000000"/>
          <w:sz w:val="20"/>
        </w:rPr>
        <w:t xml:space="preserve"> </w:t>
      </w:r>
      <w:r>
        <w:rPr>
          <w:rFonts w:ascii="Times New Roman" w:hAnsi="Times New Roman"/>
          <w:b w:val="false"/>
          <w:color w:val="000000"/>
          <w:sz w:val="20"/>
        </w:rPr>
        <w:t>million and $115</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and our income tax provision was $37</w:t>
      </w:r>
      <w:r>
        <w:rPr>
          <w:rFonts w:ascii="Times New Roman" w:hAnsi="Times New Roman"/>
          <w:color w:val="000000"/>
          <w:sz w:val="20"/>
        </w:rPr>
        <w:t xml:space="preserve"> </w:t>
      </w:r>
      <w:r>
        <w:rPr>
          <w:rFonts w:ascii="Times New Roman" w:hAnsi="Times New Roman"/>
          <w:b w:val="false"/>
          <w:color w:val="000000"/>
          <w:sz w:val="20"/>
        </w:rPr>
        <w:t>million and $61</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 The change in our income tax provision during the nine months ended September 30, 2023, when compared to the same period in 2022, was primarily the result of an Internal Revenue Service ("IRS") audit settlement and related adjustment to our existing transfer pricing income tax reserves for subsequent tax years recorded during the three months ended March 31, 2023. Our effective tax rate differed from the U.S. federal statutory rate of 21% during the three months ended September 30, 2023 primarily due to a reduction of a deferred tax asset related to stock options awarded in August 2013 to our former CEO, Stephen Kaufer, that expired during the three months ended September 30, 2023. Our effective tax rate differed from the U.S. federal statutory rate of 21% during the nine months ended September 30, 2023 primarily as a result of the IRS audit settlement, as described above, during the first quarter of 2023.</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A reconciliation of the provision (benefit) for income taxes to the amounts computed by applying the statutory federal income tax rate to income (loss) before income taxes is as follows for the periods presented:</w:t>
      </w:r>
    </w:p>
    <w:tbl>
      <w:tblPr>
        <w:tblW w:w="7572" w:type="dxa"/>
        <w:jc w:val="left"/>
        <w:tblInd w:w="0" w:type="dxa"/>
        <w:tblLayout w:type="fixed"/>
        <w:tblCellMar>
          <w:top w:w="28" w:type="dxa"/>
          <w:left w:w="28" w:type="dxa"/>
          <w:bottom w:w="28" w:type="dxa"/>
          <w:right w:w="28" w:type="dxa"/>
        </w:tblCellMar>
      </w:tblPr>
      <w:tblGrid>
        <w:gridCol w:w="4666"/>
        <w:gridCol w:w="146"/>
        <w:gridCol w:w="358"/>
        <w:gridCol w:w="715"/>
        <w:gridCol w:w="282"/>
        <w:gridCol w:w="248"/>
        <w:gridCol w:w="358"/>
        <w:gridCol w:w="588"/>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4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 (benefit) at the federal statutory rate</w:t>
            </w:r>
          </w:p>
        </w:tc>
        <w:tc>
          <w:tcPr>
            <w:tcW w:w="146" w:type="dxa"/>
            <w:tcBorders/>
            <w:shd w:fill="CFF0FC" w:val="clear"/>
            <w:vAlign w:val="center"/>
          </w:tcPr>
          <w:p>
            <w:pPr>
              <w:pStyle w:val="TableContents"/>
              <w:bidi w:val="0"/>
              <w:spacing w:before="0" w:after="283"/>
              <w:jc w:val="center"/>
              <w:rPr/>
            </w:pPr>
            <w:r>
              <w:rPr/>
              <w:t> </w:t>
            </w:r>
          </w:p>
        </w:tc>
        <w:tc>
          <w:tcPr>
            <w:tcW w:w="3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82"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center"/>
              <w:rPr/>
            </w:pPr>
            <w:r>
              <w:rPr/>
              <w:t> </w:t>
            </w:r>
          </w:p>
        </w:tc>
        <w:tc>
          <w:tcPr>
            <w:tcW w:w="3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State income taxes, net of effect of federal tax benefit</w:t>
            </w:r>
          </w:p>
        </w:tc>
        <w:tc>
          <w:tcPr>
            <w:tcW w:w="146"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82"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Unrecognized tax benefits and related interest</w:t>
            </w:r>
          </w:p>
        </w:tc>
        <w:tc>
          <w:tcPr>
            <w:tcW w:w="146" w:type="dxa"/>
            <w:tcBorders/>
            <w:shd w:fill="CFF0FC" w:val="clear"/>
            <w:vAlign w:val="center"/>
          </w:tcPr>
          <w:p>
            <w:pPr>
              <w:pStyle w:val="TableContents"/>
              <w:bidi w:val="0"/>
              <w:spacing w:before="0" w:after="283"/>
              <w:jc w:val="center"/>
              <w:rPr/>
            </w:pPr>
            <w:r>
              <w:rPr/>
              <w:t> </w:t>
            </w:r>
          </w:p>
        </w:tc>
        <w:tc>
          <w:tcPr>
            <w:tcW w:w="358" w:type="dxa"/>
            <w:tcBorders/>
            <w:shd w:fill="CFF0FC" w:val="clear"/>
            <w:vAlign w:val="center"/>
          </w:tcPr>
          <w:p>
            <w:pPr>
              <w:pStyle w:val="TableContents"/>
              <w:bidi w:val="0"/>
              <w:spacing w:before="0" w:after="283"/>
              <w:jc w:val="left"/>
              <w:rPr/>
            </w:pPr>
            <w:r>
              <w:rPr/>
              <w:t> </w:t>
            </w:r>
          </w:p>
        </w:tc>
        <w:tc>
          <w:tcPr>
            <w:tcW w:w="7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82"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center"/>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82"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tax credit</w:t>
            </w:r>
          </w:p>
        </w:tc>
        <w:tc>
          <w:tcPr>
            <w:tcW w:w="146" w:type="dxa"/>
            <w:tcBorders/>
            <w:shd w:fill="CFF0FC" w:val="clear"/>
            <w:vAlign w:val="center"/>
          </w:tcPr>
          <w:p>
            <w:pPr>
              <w:pStyle w:val="TableContents"/>
              <w:bidi w:val="0"/>
              <w:spacing w:before="0" w:after="283"/>
              <w:jc w:val="center"/>
              <w:rPr/>
            </w:pPr>
            <w:r>
              <w:rPr/>
              <w:t> </w:t>
            </w:r>
          </w:p>
        </w:tc>
        <w:tc>
          <w:tcPr>
            <w:tcW w:w="358" w:type="dxa"/>
            <w:tcBorders/>
            <w:shd w:fill="CFF0FC" w:val="clear"/>
            <w:vAlign w:val="center"/>
          </w:tcPr>
          <w:p>
            <w:pPr>
              <w:pStyle w:val="TableContents"/>
              <w:bidi w:val="0"/>
              <w:spacing w:before="0" w:after="283"/>
              <w:jc w:val="left"/>
              <w:rPr/>
            </w:pPr>
            <w:r>
              <w:rPr/>
              <w:t> </w:t>
            </w:r>
          </w:p>
        </w:tc>
        <w:tc>
          <w:tcPr>
            <w:tcW w:w="7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8" w:type="dxa"/>
            <w:tcBorders/>
            <w:shd w:fill="CFF0FC" w:val="clear"/>
            <w:vAlign w:val="center"/>
          </w:tcPr>
          <w:p>
            <w:pPr>
              <w:pStyle w:val="TableContents"/>
              <w:bidi w:val="0"/>
              <w:spacing w:before="0" w:after="283"/>
              <w:jc w:val="center"/>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valuation allowance</w:t>
            </w:r>
          </w:p>
        </w:tc>
        <w:tc>
          <w:tcPr>
            <w:tcW w:w="146"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82"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IRS audit settlement</w:t>
            </w:r>
          </w:p>
        </w:tc>
        <w:tc>
          <w:tcPr>
            <w:tcW w:w="146" w:type="dxa"/>
            <w:tcBorders/>
            <w:shd w:fill="CFF0FC" w:val="clear"/>
            <w:vAlign w:val="center"/>
          </w:tcPr>
          <w:p>
            <w:pPr>
              <w:pStyle w:val="TableContents"/>
              <w:bidi w:val="0"/>
              <w:spacing w:before="0" w:after="283"/>
              <w:jc w:val="center"/>
              <w:rPr/>
            </w:pPr>
            <w:r>
              <w:rPr/>
              <w:t> </w:t>
            </w:r>
          </w:p>
        </w:tc>
        <w:tc>
          <w:tcPr>
            <w:tcW w:w="358" w:type="dxa"/>
            <w:tcBorders/>
            <w:shd w:fill="CFF0FC" w:val="clear"/>
            <w:vAlign w:val="center"/>
          </w:tcPr>
          <w:p>
            <w:pPr>
              <w:pStyle w:val="TableContents"/>
              <w:bidi w:val="0"/>
              <w:spacing w:before="0" w:after="283"/>
              <w:jc w:val="left"/>
              <w:rPr/>
            </w:pPr>
            <w:r>
              <w:rPr/>
              <w:t> </w:t>
            </w:r>
          </w:p>
        </w:tc>
        <w:tc>
          <w:tcPr>
            <w:tcW w:w="7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82"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center"/>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 pricing reserves adjustment</w:t>
            </w:r>
          </w:p>
        </w:tc>
        <w:tc>
          <w:tcPr>
            <w:tcW w:w="146"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82"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net</w:t>
            </w:r>
          </w:p>
        </w:tc>
        <w:tc>
          <w:tcPr>
            <w:tcW w:w="146" w:type="dxa"/>
            <w:tcBorders/>
            <w:shd w:fill="CFF0FC" w:val="cle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8" w:type="dxa"/>
            <w:tcBorders/>
            <w:shd w:fill="CFF0FC" w:val="clear"/>
            <w:vAlign w:val="center"/>
          </w:tcPr>
          <w:p>
            <w:pPr>
              <w:pStyle w:val="TableContents"/>
              <w:bidi w:val="0"/>
              <w:spacing w:before="0" w:after="283"/>
              <w:jc w:val="center"/>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146" w:type="dxa"/>
            <w:tcBorders/>
            <w:shd w:fill="FFFFFF" w:val="cle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center"/>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accounting policy is to recognize accrued interest and penalties related to unrecognized tax benefits and income tax liabilities as part of our income tax expense. As of September 30, 2023, we had an accrued interest liability of $46</w:t>
      </w:r>
      <w:r>
        <w:rPr>
          <w:rFonts w:ascii="Times New Roman" w:hAnsi="Times New Roman"/>
          <w:color w:val="000000"/>
          <w:sz w:val="20"/>
        </w:rPr>
        <w:t xml:space="preserve"> </w:t>
      </w:r>
      <w:r>
        <w:rPr>
          <w:rFonts w:ascii="Times New Roman" w:hAnsi="Times New Roman"/>
          <w:b w:val="false"/>
          <w:color w:val="000000"/>
          <w:sz w:val="20"/>
        </w:rPr>
        <w:t>million and no</w:t>
      </w:r>
      <w:r>
        <w:rPr>
          <w:rFonts w:ascii="Times New Roman" w:hAnsi="Times New Roman"/>
          <w:color w:val="000000"/>
          <w:sz w:val="20"/>
        </w:rPr>
        <w:t xml:space="preserve"> </w:t>
      </w:r>
      <w:r>
        <w:rPr>
          <w:rFonts w:ascii="Times New Roman" w:hAnsi="Times New Roman"/>
          <w:b w:val="false"/>
          <w:color w:val="000000"/>
          <w:sz w:val="20"/>
        </w:rPr>
        <w:t>penalties have been accrued.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currently under examination by the IRS for the 2014 through 2016 and 2018 tax years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taxes. We are no longer subject to tax examinations by tax authorities for years prior to 2014. As of September 30, 2023, no material assessments have resulted, except as noted below regarding our 2009, 2010, and 2011 IRS audit with Expedia, our 2014 through 2016 standalone IRS audit, and our 2012 through 2016 HM Revenue &amp; Customs (“HMRC”) audit.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disclosed in previous filings, including in our Annual Report on Form 10-K for the year ended December 31, 2022, we received Notices of Proposed Adjustments ("NOPA") from the IRS with respect to income tax returns filed by Expedia when Tripadvisor was part of Expedia Group’s consolidated income tax return for the 2009, 2010, and 2011 tax years. The assessment was related to certain transfer pricing arrangements with foreign subsidiaries, for which we had requested competent authority assistance under the Mutual Agreement Procedure (“MAP”) for the 2009 through 2011 tax years. In January 2023, we received a final notice from the IRS regarding a MAP settlement for the 2009 through 2011 tax years, which the Company accepted in February 2023. In the first quarter of 2023, we recorded additional income tax expense as a discrete item, inclusive of interest, of $31</w:t>
      </w:r>
      <w:r>
        <w:rPr>
          <w:rFonts w:ascii="Times New Roman" w:hAnsi="Times New Roman"/>
          <w:color w:val="000000"/>
          <w:sz w:val="20"/>
        </w:rPr>
        <w:t xml:space="preserve"> </w:t>
      </w:r>
      <w:r>
        <w:rPr>
          <w:rFonts w:ascii="Times New Roman" w:hAnsi="Times New Roman"/>
          <w:b w:val="false"/>
          <w:color w:val="000000"/>
          <w:sz w:val="20"/>
        </w:rPr>
        <w:t>million specifically related to this settlement. During the first quarter of 2023, we reviewed the impact of the acceptance of this settlement position against our existing transfer pricing income tax reserves for the subsequent tax years, which resulted in incremental income tax expense, inclusive of estimated interest, of $24</w:t>
      </w:r>
      <w:r>
        <w:rPr>
          <w:rFonts w:ascii="Times New Roman" w:hAnsi="Times New Roman"/>
          <w:color w:val="000000"/>
          <w:sz w:val="20"/>
        </w:rPr>
        <w:t xml:space="preserve"> </w:t>
      </w:r>
      <w:r>
        <w:rPr>
          <w:rFonts w:ascii="Times New Roman" w:hAnsi="Times New Roman"/>
          <w:b w:val="false"/>
          <w:color w:val="000000"/>
          <w:sz w:val="20"/>
        </w:rPr>
        <w:t>million. The total impact of these adjustments resulted in an incremental income tax expense of $55</w:t>
      </w:r>
      <w:r>
        <w:rPr>
          <w:rFonts w:ascii="Times New Roman" w:hAnsi="Times New Roman"/>
          <w:color w:val="000000"/>
          <w:sz w:val="20"/>
        </w:rPr>
        <w:t xml:space="preserve"> </w:t>
      </w:r>
      <w:r>
        <w:rPr>
          <w:rFonts w:ascii="Times New Roman" w:hAnsi="Times New Roman"/>
          <w:b w:val="false"/>
          <w:color w:val="000000"/>
          <w:sz w:val="20"/>
        </w:rPr>
        <w:t>million, which was recognized during the three months ended March 31, 2023. During the three months ended June 30, 2023, we made a U.S. federal tax payment of $113</w:t>
      </w:r>
      <w:r>
        <w:rPr>
          <w:rFonts w:ascii="Times New Roman" w:hAnsi="Times New Roman"/>
          <w:color w:val="000000"/>
          <w:sz w:val="20"/>
        </w:rPr>
        <w:t xml:space="preserve"> </w:t>
      </w:r>
      <w:r>
        <w:rPr>
          <w:rFonts w:ascii="Times New Roman" w:hAnsi="Times New Roman"/>
          <w:b w:val="false"/>
          <w:color w:val="000000"/>
          <w:sz w:val="20"/>
        </w:rPr>
        <w:t>million, inclusive of interest, to Expedia related to this IRS audit settlement, pursuant to the Tax Sharing Agreement with Expedia. During the three months ended September 30, 2023, we received a competent authority refund of $49</w:t>
      </w:r>
      <w:r>
        <w:rPr>
          <w:rFonts w:ascii="Times New Roman" w:hAnsi="Times New Roman"/>
          <w:color w:val="000000"/>
          <w:sz w:val="20"/>
        </w:rPr>
        <w:t xml:space="preserve"> </w:t>
      </w:r>
      <w:r>
        <w:rPr>
          <w:rFonts w:ascii="Times New Roman" w:hAnsi="Times New Roman"/>
          <w:b w:val="false"/>
          <w:color w:val="000000"/>
          <w:sz w:val="20"/>
        </w:rPr>
        <w:t>million, inclusive of interest income, which was previously recorded in income taxes receivable on our unaudited condensed consolidated balance sheet as of June 30, 2023. We anticipate the federal tax benefits, net of remaining state tax payments due, associated with this IRS audit settlement will be substantially settled in the next twelve months, resulting in an estimated net cash inflow of $5</w:t>
      </w:r>
      <w:r>
        <w:rPr>
          <w:rFonts w:ascii="Times New Roman" w:hAnsi="Times New Roman"/>
          <w:color w:val="000000"/>
          <w:sz w:val="20"/>
        </w:rPr>
        <w:t xml:space="preserve"> </w:t>
      </w:r>
      <w:r>
        <w:rPr>
          <w:rFonts w:ascii="Times New Roman" w:hAnsi="Times New Roman"/>
          <w:b w:val="false"/>
          <w:color w:val="000000"/>
          <w:sz w:val="20"/>
        </w:rPr>
        <w:t>million to $10</w:t>
      </w:r>
      <w:r>
        <w:rPr>
          <w:rFonts w:ascii="Times New Roman" w:hAnsi="Times New Roman"/>
          <w:color w:val="000000"/>
          <w:sz w:val="20"/>
        </w:rPr>
        <w:t xml:space="preserve"> </w:t>
      </w:r>
      <w:r>
        <w:rPr>
          <w:rFonts w:ascii="Times New Roman" w:hAnsi="Times New Roman"/>
          <w:b w:val="false"/>
          <w:color w:val="000000"/>
          <w:sz w:val="20"/>
        </w:rPr>
        <w:t>million, which is reflected in income taxes payable on our unaudited condensed consolidated balance sheet as of September 30,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Separately, during August 2020, we received a NOPA from the IRS for the 2014, 2015, and 2016 tax years. These proposed adjustments pertain to certain transfer pricing arrangements with our foreign subsidiaries and would result in additional income tax expense above our existing tax reserves as of September 30, 2023, in an estimated range of $55</w:t>
      </w:r>
      <w:r>
        <w:rPr>
          <w:rFonts w:ascii="Times New Roman" w:hAnsi="Times New Roman"/>
          <w:color w:val="000000"/>
          <w:sz w:val="20"/>
        </w:rPr>
        <w:t xml:space="preserve"> </w:t>
      </w:r>
      <w:r>
        <w:rPr>
          <w:rFonts w:ascii="Times New Roman" w:hAnsi="Times New Roman"/>
          <w:b w:val="false"/>
          <w:color w:val="000000"/>
          <w:sz w:val="20"/>
        </w:rPr>
        <w:t>million to $65</w:t>
      </w:r>
      <w:r>
        <w:rPr>
          <w:rFonts w:ascii="Times New Roman" w:hAnsi="Times New Roman"/>
          <w:color w:val="000000"/>
          <w:sz w:val="20"/>
        </w:rPr>
        <w:t xml:space="preserve"> </w:t>
      </w:r>
      <w:r>
        <w:rPr>
          <w:rFonts w:ascii="Times New Roman" w:hAnsi="Times New Roman"/>
          <w:b w:val="false"/>
          <w:color w:val="000000"/>
          <w:sz w:val="20"/>
        </w:rPr>
        <w:t>million at the close of the audit if the IRS prevails. This estimated range takes into consideration competent authority relief, existing income tax reserves, and transition tax regulations and is exclusive of deferred tax consequences and interest expense, which would also be significant. We disagree with the proposed adjustments, and we intend to defend our position through applicable administrative and, if necessary, judicial remedies. Based on our interpretation of the regulations and available case law, we believe the position we have taken with regard to transfer pricing with our foreign subsidiaries is sustainable. In addition to the risk of additional tax for the years discussed above, if the IRS were to seek transfer pricing adjustments of a similar nature for transactions in subsequent years, we may be subject to significant additional tax liabilities. We have previously requested competent authority assistance under MAP for the tax years 2014 through 2016. We reviewed our transfer pricing reserves as of September 30, 2023 and, based on the facts and circumstances that existed as of the reporting date, consider them to be the Company’s best estimate as of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December 31, 2022, we had recorded $204</w:t>
      </w:r>
      <w:r>
        <w:rPr>
          <w:rFonts w:ascii="Times New Roman" w:hAnsi="Times New Roman"/>
          <w:color w:val="000000"/>
          <w:sz w:val="20"/>
        </w:rPr>
        <w:t xml:space="preserve"> </w:t>
      </w:r>
      <w:r>
        <w:rPr>
          <w:rFonts w:ascii="Times New Roman" w:hAnsi="Times New Roman"/>
          <w:b w:val="false"/>
          <w:color w:val="000000"/>
          <w:sz w:val="20"/>
        </w:rPr>
        <w:t>million of unrecognized tax benefits, inclusive of interest, classified as other long-term liabilities on our unaudited condensed consolidated balance sheet. As a result of the Company's acceptance of MAP with the IRS for the tax years 2009 through 2011, and its impact on other ongoing IRS audits, as described above, during the first quarter of 2023, we reduced this unrecognized tax benefits liability by $59</w:t>
      </w:r>
      <w:r>
        <w:rPr>
          <w:rFonts w:ascii="Times New Roman" w:hAnsi="Times New Roman"/>
          <w:color w:val="000000"/>
          <w:sz w:val="20"/>
        </w:rPr>
        <w:t xml:space="preserve"> </w:t>
      </w:r>
      <w:r>
        <w:rPr>
          <w:rFonts w:ascii="Times New Roman" w:hAnsi="Times New Roman"/>
          <w:b w:val="false"/>
          <w:color w:val="000000"/>
          <w:sz w:val="20"/>
        </w:rPr>
        <w:t>million, reclassifying this balance to income taxes payable. We also increased our income taxes receivable balance by $46</w:t>
      </w:r>
      <w:r>
        <w:rPr>
          <w:rFonts w:ascii="Times New Roman" w:hAnsi="Times New Roman"/>
          <w:color w:val="000000"/>
          <w:sz w:val="20"/>
        </w:rPr>
        <w:t xml:space="preserve"> </w:t>
      </w:r>
      <w:r>
        <w:rPr>
          <w:rFonts w:ascii="Times New Roman" w:hAnsi="Times New Roman"/>
          <w:b w:val="false"/>
          <w:color w:val="000000"/>
          <w:sz w:val="20"/>
        </w:rPr>
        <w:t>million, representing short-term competent authority relief, or payment due from a foreign jurisdiction, which was subsequently received during the third quarter of 2023, as noted above, while reducing our long-term income taxes receivable by $45</w:t>
      </w:r>
      <w:r>
        <w:rPr>
          <w:rFonts w:ascii="Times New Roman" w:hAnsi="Times New Roman"/>
          <w:color w:val="000000"/>
          <w:sz w:val="20"/>
        </w:rPr>
        <w:t xml:space="preserve"> </w:t>
      </w:r>
      <w:r>
        <w:rPr>
          <w:rFonts w:ascii="Times New Roman" w:hAnsi="Times New Roman"/>
          <w:b w:val="false"/>
          <w:color w:val="000000"/>
          <w:sz w:val="20"/>
        </w:rPr>
        <w:t>million, representing our previous estimate of competent authority relief, previously recorded to other long-term assets on our unaudited condensed consolidated balance sheet as of December 31,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January 2021, we received an issue closure notice from HMRC relating to adjustments for the 2012 through 2016 tax years. These proposed adjustments are related to certain transfer pricing arrangements with our foreign subsidiaries and would result in an increase to our income tax expense in an estimated range of $25</w:t>
      </w:r>
      <w:r>
        <w:rPr>
          <w:rFonts w:ascii="Times New Roman" w:hAnsi="Times New Roman"/>
          <w:color w:val="000000"/>
          <w:sz w:val="20"/>
        </w:rPr>
        <w:t xml:space="preserve"> </w:t>
      </w:r>
      <w:r>
        <w:rPr>
          <w:rFonts w:ascii="Times New Roman" w:hAnsi="Times New Roman"/>
          <w:b w:val="false"/>
          <w:color w:val="000000"/>
          <w:sz w:val="20"/>
        </w:rPr>
        <w:t>million to $35</w:t>
      </w:r>
      <w:r>
        <w:rPr>
          <w:rFonts w:ascii="Times New Roman" w:hAnsi="Times New Roman"/>
          <w:color w:val="000000"/>
          <w:sz w:val="20"/>
        </w:rPr>
        <w:t xml:space="preserve"> </w:t>
      </w:r>
      <w:r>
        <w:rPr>
          <w:rFonts w:ascii="Times New Roman" w:hAnsi="Times New Roman"/>
          <w:b w:val="false"/>
          <w:color w:val="000000"/>
          <w:sz w:val="20"/>
        </w:rPr>
        <w:t>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the Company has taken with regard to transfer pricing with our foreign subsidiaries is sustainable.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As of September 30, 2023, there have been no material changes to our commitments and contingencies since December 31, 2022. Refer to “Note 12: </w:t>
      </w:r>
      <w:r>
        <w:rPr>
          <w:rFonts w:ascii="Times New Roman" w:hAnsi="Times New Roman"/>
          <w:b w:val="false"/>
          <w:i/>
          <w:color w:val="000000"/>
          <w:sz w:val="20"/>
        </w:rPr>
        <w:t>Commitments and Contingencies</w:t>
      </w:r>
      <w:r>
        <w:rPr>
          <w:rFonts w:ascii="Times New Roman" w:hAnsi="Times New Roman"/>
          <w:b w:val="false"/>
          <w:color w:val="000000"/>
          <w:sz w:val="20"/>
        </w:rPr>
        <w:t>,” in the notes to our consolidated financial statements in Item 8 of our Annual Report on Form 10-K for the year ended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ordinary course of business, we are party to legal, regulatory and administrative matters, including threats thereof, arising out of, or in connection with our operations. These matters may involve claims involving intellectual property rights (including privacy rights and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and Non-Income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8: </w:t>
      </w:r>
      <w:r>
        <w:rPr>
          <w:rFonts w:ascii="Times New Roman" w:hAnsi="Times New Roman"/>
          <w:b w:val="false"/>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for further information on potential contingencies surrounding income taxes.</w:t>
      </w:r>
    </w:p>
    <w:p>
      <w:pPr>
        <w:pStyle w:val="TextBody"/>
        <w:bidi w:val="0"/>
        <w:spacing w:before="360" w:after="283"/>
        <w:jc w:val="left"/>
        <w:rPr>
          <w:rFonts w:ascii="Times New Roman" w:hAnsi="Times New Roman"/>
          <w:sz w:val="20"/>
        </w:rPr>
      </w:pPr>
      <w:r>
        <w:rPr>
          <w:rFonts w:ascii="Times New Roman" w:hAnsi="Times New Roman"/>
          <w:b/>
          <w:color w:val="000000"/>
          <w:sz w:val="20"/>
        </w:rPr>
        <w:t>NOTE 10: STOCK BASED AWARDS AND OTHER EQUITY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On June 6, 2023, our stockholders approved the TripAdvisor, Inc. 2023 Stock and Annual Incentive Plan (the “2023 Plan”) primarily for the purpose of providing sufficient reserves of shares of our common stock to ensure our ability to continue to provide new hires, employees, and other participants with equity incentives. The 2023 Plan provides for the grant of stock options, stock appreciation rights, restricted stock, restricted stock units (“RSUs”), and other stock-based awards. As of September 30, 2023, the total number of shares reserved for future stock-based awards under the 2023 Plan was approximately 19</w:t>
      </w:r>
      <w:r>
        <w:rPr>
          <w:rFonts w:ascii="Times New Roman" w:hAnsi="Times New Roman"/>
          <w:color w:val="000000"/>
          <w:sz w:val="20"/>
        </w:rPr>
        <w:t xml:space="preserve"> </w:t>
      </w:r>
      <w:r>
        <w:rPr>
          <w:rFonts w:ascii="Times New Roman" w:hAnsi="Times New Roman"/>
          <w:b w:val="false"/>
          <w:color w:val="000000"/>
          <w:sz w:val="20"/>
        </w:rPr>
        <w:t>million shares, calculated as follows: 12</w:t>
      </w:r>
      <w:r>
        <w:rPr>
          <w:rFonts w:ascii="Times New Roman" w:hAnsi="Times New Roman"/>
          <w:color w:val="000000"/>
          <w:sz w:val="20"/>
        </w:rPr>
        <w:t xml:space="preserve"> </w:t>
      </w:r>
      <w:r>
        <w:rPr>
          <w:rFonts w:ascii="Times New Roman" w:hAnsi="Times New Roman"/>
          <w:b w:val="false"/>
          <w:color w:val="000000"/>
          <w:sz w:val="20"/>
        </w:rPr>
        <w:t>million shares plus the number of shares available for issuance (and not subject to outstanding awards) under the TripAdvisor, Inc. 2018 Stock and Annual Incentive Plan (the “2018 Plan”). All shares of common stock issued to date in respect of the exercise of options, RSUs, or other equity awards have been issued from authorized, but unissued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presents the amount of stock-based compensation expense and the related income tax benefit included in our unaudited condensed consolidated statements of operations during the periods presented:</w:t>
      </w:r>
      <w:r>
        <w:rPr>
          <w:rFonts w:ascii="Times New Roman" w:hAnsi="Times New Roman"/>
          <w:color w:val="000000"/>
          <w:sz w:val="20"/>
        </w:rPr>
        <w:t xml:space="preserve"> </w:t>
      </w:r>
    </w:p>
    <w:tbl>
      <w:tblPr>
        <w:tblW w:w="8020" w:type="dxa"/>
        <w:jc w:val="left"/>
        <w:tblInd w:w="0" w:type="dxa"/>
        <w:tblLayout w:type="fixed"/>
        <w:tblCellMar>
          <w:top w:w="28" w:type="dxa"/>
          <w:left w:w="28" w:type="dxa"/>
          <w:bottom w:w="28" w:type="dxa"/>
          <w:right w:w="28" w:type="dxa"/>
        </w:tblCellMar>
      </w:tblPr>
      <w:tblGrid>
        <w:gridCol w:w="4306"/>
        <w:gridCol w:w="146"/>
        <w:gridCol w:w="241"/>
        <w:gridCol w:w="361"/>
        <w:gridCol w:w="189"/>
        <w:gridCol w:w="166"/>
        <w:gridCol w:w="241"/>
        <w:gridCol w:w="361"/>
        <w:gridCol w:w="166"/>
        <w:gridCol w:w="146"/>
        <w:gridCol w:w="211"/>
        <w:gridCol w:w="376"/>
        <w:gridCol w:w="166"/>
        <w:gridCol w:w="146"/>
        <w:gridCol w:w="211"/>
        <w:gridCol w:w="376"/>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21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benefit from stock-based compensation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 net of tax</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We capitalized $2</w:t>
      </w:r>
      <w:r>
        <w:rPr>
          <w:rFonts w:ascii="Times New Roman" w:hAnsi="Times New Roman"/>
          <w:color w:val="000000"/>
          <w:sz w:val="20"/>
        </w:rPr>
        <w:t xml:space="preserve"> </w:t>
      </w:r>
      <w:r>
        <w:rPr>
          <w:rFonts w:ascii="Times New Roman" w:hAnsi="Times New Roman"/>
          <w:b w:val="false"/>
          <w:color w:val="000000"/>
          <w:sz w:val="20"/>
        </w:rPr>
        <w:t>million and $8</w:t>
      </w:r>
      <w:r>
        <w:rPr>
          <w:rFonts w:ascii="Times New Roman" w:hAnsi="Times New Roman"/>
          <w:color w:val="000000"/>
          <w:sz w:val="20"/>
        </w:rPr>
        <w:t xml:space="preserve"> </w:t>
      </w:r>
      <w:r>
        <w:rPr>
          <w:rFonts w:ascii="Times New Roman" w:hAnsi="Times New Roman"/>
          <w:b w:val="false"/>
          <w:color w:val="000000"/>
          <w:sz w:val="20"/>
        </w:rPr>
        <w:t>million of stock-based compensation expense as website development costs during the three and nine months ended September 30, 2023, respectively, and $2</w:t>
      </w:r>
      <w:r>
        <w:rPr>
          <w:rFonts w:ascii="Times New Roman" w:hAnsi="Times New Roman"/>
          <w:color w:val="000000"/>
          <w:sz w:val="20"/>
        </w:rPr>
        <w:t xml:space="preserve"> </w:t>
      </w:r>
      <w:r>
        <w:rPr>
          <w:rFonts w:ascii="Times New Roman" w:hAnsi="Times New Roman"/>
          <w:b w:val="false"/>
          <w:color w:val="000000"/>
          <w:sz w:val="20"/>
        </w:rPr>
        <w:t>million and $7</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2022, respectively.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Award Activity and Valuation </w:t>
      </w:r>
    </w:p>
    <w:p>
      <w:pPr>
        <w:pStyle w:val="TextBody"/>
        <w:bidi w:val="0"/>
        <w:spacing w:before="120" w:after="283"/>
        <w:jc w:val="left"/>
        <w:rPr>
          <w:rFonts w:ascii="Times New Roman" w:hAnsi="Times New Roman"/>
          <w:sz w:val="20"/>
        </w:rPr>
      </w:pPr>
      <w:r>
        <w:rPr>
          <w:rFonts w:ascii="Times New Roman" w:hAnsi="Times New Roman"/>
          <w:b/>
          <w:i/>
          <w:color w:val="000000"/>
          <w:sz w:val="20"/>
        </w:rPr>
        <w:t>2023 Stock Option Activity</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A summary of our stock option activity, consisting of service-based non-qualified stock options, is presented below:</w:t>
      </w:r>
      <w:r>
        <w:rPr>
          <w:rFonts w:ascii="Times New Roman" w:hAnsi="Times New Roman"/>
          <w:color w:val="000000"/>
          <w:sz w:val="20"/>
        </w:rPr>
        <w:t xml:space="preserve"> </w:t>
      </w:r>
    </w:p>
    <w:tbl>
      <w:tblPr>
        <w:tblW w:w="9831" w:type="dxa"/>
        <w:jc w:val="left"/>
        <w:tblInd w:w="0" w:type="dxa"/>
        <w:tblLayout w:type="fixed"/>
        <w:tblCellMar>
          <w:top w:w="28" w:type="dxa"/>
          <w:left w:w="28" w:type="dxa"/>
          <w:bottom w:w="28" w:type="dxa"/>
          <w:right w:w="28" w:type="dxa"/>
        </w:tblCellMar>
      </w:tblPr>
      <w:tblGrid>
        <w:gridCol w:w="4726"/>
        <w:gridCol w:w="146"/>
        <w:gridCol w:w="211"/>
        <w:gridCol w:w="914"/>
        <w:gridCol w:w="166"/>
        <w:gridCol w:w="146"/>
        <w:gridCol w:w="214"/>
        <w:gridCol w:w="582"/>
        <w:gridCol w:w="146"/>
        <w:gridCol w:w="146"/>
        <w:gridCol w:w="284"/>
        <w:gridCol w:w="707"/>
        <w:gridCol w:w="146"/>
        <w:gridCol w:w="146"/>
        <w:gridCol w:w="362"/>
        <w:gridCol w:w="598"/>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outstanding at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Cancelled or expired (1)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outstanding at September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8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as of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8"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expected to vest after September 30, 2023 (2)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8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left"/>
        <w:rPr>
          <w:rFonts w:ascii="Times New Roman" w:hAnsi="Times New Roman"/>
          <w:sz w:val="20"/>
        </w:rPr>
      </w:pPr>
      <w:r>
        <w:rPr>
          <w:rFonts w:ascii="Times New Roman" w:hAnsi="Times New Roman"/>
          <w:b w:val="false"/>
          <w:color w:val="000000"/>
          <w:sz w:val="16"/>
        </w:rPr>
        <w:t>Inclusive of 1,100,000</w:t>
      </w:r>
      <w:r>
        <w:rPr>
          <w:rFonts w:ascii="Times New Roman" w:hAnsi="Times New Roman"/>
          <w:color w:val="000000"/>
          <w:sz w:val="20"/>
        </w:rPr>
        <w:t xml:space="preserve"> </w:t>
      </w:r>
      <w:r>
        <w:rPr>
          <w:rFonts w:ascii="Times New Roman" w:hAnsi="Times New Roman"/>
          <w:b w:val="false"/>
          <w:color w:val="000000"/>
          <w:sz w:val="16"/>
        </w:rPr>
        <w:t xml:space="preserve">stock options awarded in August 2013 to our former CEO, Stephen Kaufer, that expired during the third quarter of 2023. The expiration of these stock options had no impact to our stock-based compensation expense under GAAP during the third quarter of 2023.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 xml:space="preserve">The Company accounts for forfeitures as they occur, rather than estimate expected forfeitures as allowed under GAAP and therefore does not include a forfeiture rate in its vested and expected to vest calculation unless necessary for a performance condition award.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weighted-average grant date fair value of stock options issued during the nine months ended September 30, 2023 and 2022, using a Black-Scholes Merton option-pricing model, was $10.32</w:t>
      </w:r>
      <w:r>
        <w:rPr>
          <w:rFonts w:ascii="Times New Roman" w:hAnsi="Times New Roman"/>
          <w:color w:val="000000"/>
          <w:sz w:val="20"/>
        </w:rPr>
        <w:t xml:space="preserve"> </w:t>
      </w:r>
      <w:r>
        <w:rPr>
          <w:rFonts w:ascii="Times New Roman" w:hAnsi="Times New Roman"/>
          <w:b w:val="false"/>
          <w:color w:val="000000"/>
          <w:sz w:val="20"/>
        </w:rPr>
        <w:t>and $9.47, respectively. The total fair value of stock options vested was $6</w:t>
      </w:r>
      <w:r>
        <w:rPr>
          <w:rFonts w:ascii="Times New Roman" w:hAnsi="Times New Roman"/>
          <w:color w:val="000000"/>
          <w:sz w:val="20"/>
        </w:rPr>
        <w:t xml:space="preserve"> </w:t>
      </w:r>
      <w:r>
        <w:rPr>
          <w:rFonts w:ascii="Times New Roman" w:hAnsi="Times New Roman"/>
          <w:b w:val="false"/>
          <w:color w:val="000000"/>
          <w:sz w:val="20"/>
        </w:rPr>
        <w:t>million and $15</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 Aggregate intrinsic value represents the difference between the closing stock price of our common stock and the exercise price of outstanding, in-the-money options. Our closing stock price as reported on Nasdaq as of September 30, 2023 was $16.58.</w:t>
      </w:r>
    </w:p>
    <w:p>
      <w:pPr>
        <w:pStyle w:val="TextBody"/>
        <w:bidi w:val="0"/>
        <w:spacing w:before="320" w:after="283"/>
        <w:jc w:val="left"/>
        <w:rPr>
          <w:rFonts w:ascii="Times New Roman" w:hAnsi="Times New Roman"/>
          <w:sz w:val="20"/>
        </w:rPr>
      </w:pPr>
      <w:r>
        <w:rPr>
          <w:rFonts w:ascii="Times New Roman" w:hAnsi="Times New Roman"/>
          <w:b/>
          <w:i/>
          <w:color w:val="000000"/>
          <w:sz w:val="20"/>
        </w:rPr>
        <w:t>2023 RSU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 summary of our RSU activity, consisting of service-based vesting terms, is presented below:</w:t>
      </w:r>
    </w:p>
    <w:tbl>
      <w:tblPr>
        <w:tblW w:w="9072" w:type="dxa"/>
        <w:jc w:val="left"/>
        <w:tblInd w:w="0" w:type="dxa"/>
        <w:tblLayout w:type="fixed"/>
        <w:tblCellMar>
          <w:top w:w="28" w:type="dxa"/>
          <w:left w:w="28" w:type="dxa"/>
          <w:bottom w:w="28" w:type="dxa"/>
          <w:right w:w="28" w:type="dxa"/>
        </w:tblCellMar>
      </w:tblPr>
      <w:tblGrid>
        <w:gridCol w:w="4756"/>
        <w:gridCol w:w="146"/>
        <w:gridCol w:w="199"/>
        <w:gridCol w:w="926"/>
        <w:gridCol w:w="166"/>
        <w:gridCol w:w="146"/>
        <w:gridCol w:w="347"/>
        <w:gridCol w:w="943"/>
        <w:gridCol w:w="146"/>
        <w:gridCol w:w="146"/>
        <w:gridCol w:w="319"/>
        <w:gridCol w:w="641"/>
        <w:gridCol w:w="1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 outstanding as of December 31, 2022</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released (1)</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Cancelled</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 outstanding as of September 30, 2023 (2)</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Inclusive of approximately 680,000</w:t>
      </w:r>
      <w:r>
        <w:rPr>
          <w:rFonts w:ascii="Times New Roman" w:hAnsi="Times New Roman"/>
          <w:color w:val="000000"/>
          <w:sz w:val="20"/>
        </w:rPr>
        <w:t xml:space="preserve"> </w:t>
      </w:r>
      <w:r>
        <w:rPr>
          <w:rFonts w:ascii="Times New Roman" w:hAnsi="Times New Roman"/>
          <w:b w:val="false"/>
          <w:color w:val="000000"/>
          <w:sz w:val="16"/>
        </w:rPr>
        <w:t>RSUs withheld due to net share settlement to satisfy required employee tax withholding requirements. Potential shares which had been convertible under RSUs that were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unaudited condensed consolidated statements of cash flows.</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 xml:space="preserve">The Company accounts for forfeitures as they occur, rather than estimate expected forfeitures as allowed under GAAP and therefore does not include a forfeiture rate in its vested and expected to vest calculation unless necessary for a performance condition award. </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RSUs are measured at fair value based on the quoted price of our common stock at the date of grant. We amortize the grant-date fair value of RSUs as stock-based compensation expense over the vesting term, which is typically over a four-year</w:t>
      </w:r>
      <w:r>
        <w:rPr>
          <w:rFonts w:ascii="Times New Roman" w:hAnsi="Times New Roman"/>
          <w:color w:val="000000"/>
          <w:sz w:val="20"/>
        </w:rPr>
        <w:t xml:space="preserve"> </w:t>
      </w:r>
      <w:r>
        <w:rPr>
          <w:rFonts w:ascii="Times New Roman" w:hAnsi="Times New Roman"/>
          <w:b w:val="false"/>
          <w:color w:val="000000"/>
          <w:sz w:val="20"/>
        </w:rPr>
        <w:t>requisite service period on a straight-line basis, with the amount of compensation expense recognized at any date at least equaling the portion of the grant-date fair value of the award that is vested at that date. The total fair value of RSUs vested was $89</w:t>
      </w:r>
      <w:r>
        <w:rPr>
          <w:rFonts w:ascii="Times New Roman" w:hAnsi="Times New Roman"/>
          <w:color w:val="000000"/>
          <w:sz w:val="20"/>
        </w:rPr>
        <w:t xml:space="preserve"> </w:t>
      </w:r>
      <w:r>
        <w:rPr>
          <w:rFonts w:ascii="Times New Roman" w:hAnsi="Times New Roman"/>
          <w:b w:val="false"/>
          <w:color w:val="000000"/>
          <w:sz w:val="20"/>
        </w:rPr>
        <w:t>million and $96</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A summary of our performance-based RSUs ("PSUs") and market-based RSUs (“MSUs”) activity is presented below:</w:t>
      </w:r>
    </w:p>
    <w:tbl>
      <w:tblPr>
        <w:tblW w:w="10205" w:type="dxa"/>
        <w:jc w:val="left"/>
        <w:tblInd w:w="0" w:type="dxa"/>
        <w:tblLayout w:type="fixed"/>
        <w:tblCellMar>
          <w:top w:w="28" w:type="dxa"/>
          <w:left w:w="28" w:type="dxa"/>
          <w:bottom w:w="28" w:type="dxa"/>
          <w:right w:w="28" w:type="dxa"/>
        </w:tblCellMar>
      </w:tblPr>
      <w:tblGrid>
        <w:gridCol w:w="3076"/>
        <w:gridCol w:w="146"/>
        <w:gridCol w:w="1079"/>
        <w:gridCol w:w="146"/>
        <w:gridCol w:w="1098"/>
        <w:gridCol w:w="146"/>
        <w:gridCol w:w="926"/>
        <w:gridCol w:w="146"/>
        <w:gridCol w:w="1079"/>
        <w:gridCol w:w="146"/>
        <w:gridCol w:w="1098"/>
        <w:gridCol w:w="146"/>
        <w:gridCol w:w="973"/>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PSUs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MSUs </w:t>
            </w:r>
            <w:r>
              <w:rPr>
                <w:rFonts w:ascii="Times New Roman" w:hAnsi="Times New Roman"/>
                <w:b/>
                <w:color w:val="000000"/>
                <w:sz w:val="12"/>
              </w:rPr>
              <w:t>(2)</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and outstanding as of December 31, 2022</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w:t>
            </w:r>
          </w:p>
        </w:tc>
        <w:tc>
          <w:tcPr>
            <w:tcW w:w="14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0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w:t>
            </w:r>
          </w:p>
        </w:tc>
        <w:tc>
          <w:tcPr>
            <w:tcW w:w="146"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18.45</w:t>
            </w:r>
          </w:p>
        </w:tc>
        <w:tc>
          <w:tcPr>
            <w:tcW w:w="146"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14.80</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18.45</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and outstanding as of September 30, 2023</w:t>
            </w:r>
          </w:p>
        </w:tc>
        <w:tc>
          <w:tcPr>
            <w:tcW w:w="146" w:type="dxa"/>
            <w:tcBorders/>
            <w:shd w:fill="CFF0FC" w:val="clear"/>
            <w:vAlign w:val="center"/>
          </w:tcPr>
          <w:p>
            <w:pPr>
              <w:pStyle w:val="TableContents"/>
              <w:bidi w:val="0"/>
              <w:spacing w:before="0" w:after="283"/>
              <w:jc w:val="left"/>
              <w:rPr/>
            </w:pPr>
            <w:r>
              <w:rPr/>
              <w:t> </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$18.45</w:t>
            </w:r>
          </w:p>
        </w:tc>
        <w:tc>
          <w:tcPr>
            <w:tcW w:w="146"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r>
    </w:tbl>
    <w:p>
      <w:pPr>
        <w:pStyle w:val="TextBody"/>
        <w:bidi w:val="0"/>
        <w:jc w:val="left"/>
        <w:rPr/>
      </w:pPr>
      <w:r>
        <w:rPr/>
        <w:t>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left"/>
        <w:rPr>
          <w:rFonts w:ascii="Times New Roman" w:hAnsi="Times New Roman"/>
          <w:sz w:val="20"/>
        </w:rPr>
      </w:pPr>
      <w:r>
        <w:rPr>
          <w:rFonts w:ascii="Times New Roman" w:hAnsi="Times New Roman"/>
          <w:b w:val="false"/>
          <w:color w:val="000000"/>
          <w:sz w:val="16"/>
        </w:rPr>
        <w:t>Represents PSUs awarded in February 2023. The PSU awards provide for vesting in two equal annual installments on each of February 15, 2024 and February 15, 2025, based on the extent to which the Company achieves certain financial metrics relative to targets established by the Company’s Compensation Committee of its Board of Directors. The estimated grant-date fair value per PSU was measured based on the quoted price of our common stock at the date of grant, calculated upon the establishment of performance targets, and will be amortized on a straight-line basis over the requisite service period.</w:t>
      </w:r>
      <w:r>
        <w:rPr>
          <w:rFonts w:ascii="Times New Roman" w:hAnsi="Times New Roman"/>
          <w:color w:val="000000"/>
          <w:sz w:val="20"/>
        </w:rPr>
        <w:t xml:space="preserve"> </w:t>
      </w:r>
      <w:r>
        <w:rPr>
          <w:rFonts w:ascii="Times New Roman" w:hAnsi="Times New Roman"/>
          <w:b w:val="false"/>
          <w:color w:val="000000"/>
          <w:sz w:val="16"/>
        </w:rPr>
        <w:t>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 xml:space="preserve">MSUs shall vest three years from grant date, generally with 25% vesting if the weighted-average stock price over a 30-day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Income tax benefits associated with the exercise or settlement of all Tripadvisor stock-based awards held by our employees was $2</w:t>
      </w:r>
      <w:r>
        <w:rPr>
          <w:rFonts w:ascii="Times New Roman" w:hAnsi="Times New Roman"/>
          <w:color w:val="000000"/>
          <w:sz w:val="20"/>
        </w:rPr>
        <w:t xml:space="preserve"> </w:t>
      </w:r>
      <w:r>
        <w:rPr>
          <w:rFonts w:ascii="Times New Roman" w:hAnsi="Times New Roman"/>
          <w:b w:val="false"/>
          <w:color w:val="000000"/>
          <w:sz w:val="20"/>
        </w:rPr>
        <w:t>million and $8</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2023, respectively, and $4</w:t>
      </w:r>
      <w:r>
        <w:rPr>
          <w:rFonts w:ascii="Times New Roman" w:hAnsi="Times New Roman"/>
          <w:color w:val="000000"/>
          <w:sz w:val="20"/>
        </w:rPr>
        <w:t xml:space="preserve"> </w:t>
      </w:r>
      <w:r>
        <w:rPr>
          <w:rFonts w:ascii="Times New Roman" w:hAnsi="Times New Roman"/>
          <w:b w:val="false"/>
          <w:color w:val="000000"/>
          <w:sz w:val="20"/>
        </w:rPr>
        <w:t>million and $7</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2022,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w:t>
      </w:r>
      <w:r>
        <w:rPr>
          <w:rFonts w:ascii="Times New Roman" w:hAnsi="Times New Roman"/>
          <w:color w:val="000000"/>
          <w:sz w:val="20"/>
        </w:rPr>
        <w:t xml:space="preserve"> </w:t>
      </w:r>
      <w:r>
        <w:rPr>
          <w:rFonts w:ascii="Times New Roman" w:hAnsi="Times New Roman"/>
          <w:b w:val="false"/>
          <w:color w:val="000000"/>
          <w:sz w:val="20"/>
        </w:rPr>
        <w:t>30, 2023, total unrecognized compensation cost related to stock-based awards, substantially RSUs, was $255</w:t>
      </w:r>
      <w:r>
        <w:rPr>
          <w:rFonts w:ascii="Times New Roman" w:hAnsi="Times New Roman"/>
          <w:color w:val="000000"/>
          <w:sz w:val="20"/>
        </w:rPr>
        <w:t xml:space="preserve"> </w:t>
      </w:r>
      <w:r>
        <w:rPr>
          <w:rFonts w:ascii="Times New Roman" w:hAnsi="Times New Roman"/>
          <w:b w:val="false"/>
          <w:color w:val="000000"/>
          <w:sz w:val="20"/>
        </w:rPr>
        <w:t>million, which the Company expects to recognize over a weighted-average period of 2.8</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STOCKHOLDERS’ EQUITY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November 1, 2019, our Board of Directors authorized the repurchase of an additional $100</w:t>
      </w:r>
      <w:r>
        <w:rPr>
          <w:rFonts w:ascii="Times New Roman" w:hAnsi="Times New Roman"/>
          <w:color w:val="000000"/>
          <w:sz w:val="20"/>
        </w:rPr>
        <w:t xml:space="preserve"> </w:t>
      </w:r>
      <w:r>
        <w:rPr>
          <w:rFonts w:ascii="Times New Roman" w:hAnsi="Times New Roman"/>
          <w:b w:val="false"/>
          <w:color w:val="000000"/>
          <w:sz w:val="20"/>
        </w:rPr>
        <w:t>million in shares of our common stock under our existing share repurchase program, which increased the amount available to the Company under this share repurchase program to $250</w:t>
      </w:r>
      <w:r>
        <w:rPr>
          <w:rFonts w:ascii="Times New Roman" w:hAnsi="Times New Roman"/>
          <w:color w:val="000000"/>
          <w:sz w:val="20"/>
        </w:rPr>
        <w:t xml:space="preserve"> </w:t>
      </w:r>
      <w:r>
        <w:rPr>
          <w:rFonts w:ascii="Times New Roman" w:hAnsi="Times New Roman"/>
          <w:b w:val="false"/>
          <w:color w:val="000000"/>
          <w:sz w:val="20"/>
        </w:rPr>
        <w:t>million. Our Board of Directors authorized and directed management, working with the Executive Committee of our Board of Directors, to affect the share repurchase program in compliance with applicable legal requirements. As of December 31, 2022, the Company had $75</w:t>
      </w:r>
      <w:r>
        <w:rPr>
          <w:rFonts w:ascii="Times New Roman" w:hAnsi="Times New Roman"/>
          <w:color w:val="000000"/>
          <w:sz w:val="20"/>
        </w:rPr>
        <w:t xml:space="preserve"> </w:t>
      </w:r>
      <w:r>
        <w:rPr>
          <w:rFonts w:ascii="Times New Roman" w:hAnsi="Times New Roman"/>
          <w:b w:val="false"/>
          <w:color w:val="000000"/>
          <w:sz w:val="20"/>
        </w:rPr>
        <w:t>million remaining under this existing share repurchase program to repurchase shares of its common stock. During the three months ended June 30, 2023, we repurchased 4,724,729</w:t>
      </w:r>
      <w:r>
        <w:rPr>
          <w:rFonts w:ascii="Times New Roman" w:hAnsi="Times New Roman"/>
          <w:color w:val="000000"/>
          <w:sz w:val="20"/>
        </w:rPr>
        <w:t xml:space="preserve"> </w:t>
      </w:r>
      <w:r>
        <w:rPr>
          <w:rFonts w:ascii="Times New Roman" w:hAnsi="Times New Roman"/>
          <w:b w:val="false"/>
          <w:color w:val="000000"/>
          <w:sz w:val="20"/>
        </w:rPr>
        <w:t>shares of our outstanding common stock at an average price of $15.85</w:t>
      </w:r>
      <w:r>
        <w:rPr>
          <w:rFonts w:ascii="Times New Roman" w:hAnsi="Times New Roman"/>
          <w:color w:val="000000"/>
          <w:sz w:val="20"/>
        </w:rPr>
        <w:t xml:space="preserve"> </w:t>
      </w:r>
      <w:r>
        <w:rPr>
          <w:rFonts w:ascii="Times New Roman" w:hAnsi="Times New Roman"/>
          <w:b w:val="false"/>
          <w:color w:val="000000"/>
          <w:sz w:val="20"/>
        </w:rPr>
        <w:t>per share, exclusive of fees and commissions, or $75</w:t>
      </w:r>
      <w:r>
        <w:rPr>
          <w:rFonts w:ascii="Times New Roman" w:hAnsi="Times New Roman"/>
          <w:color w:val="000000"/>
          <w:sz w:val="20"/>
        </w:rPr>
        <w:t xml:space="preserve"> </w:t>
      </w:r>
      <w:r>
        <w:rPr>
          <w:rFonts w:ascii="Times New Roman" w:hAnsi="Times New Roman"/>
          <w:b w:val="false"/>
          <w:color w:val="000000"/>
          <w:sz w:val="20"/>
        </w:rPr>
        <w:t>million in the aggregate, which completed this share repurchase program.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September 7, 2023, our Board of Directors authorized the repurchase of $250</w:t>
      </w:r>
      <w:r>
        <w:rPr>
          <w:rFonts w:ascii="Times New Roman" w:hAnsi="Times New Roman"/>
          <w:color w:val="000000"/>
          <w:sz w:val="20"/>
        </w:rPr>
        <w:t xml:space="preserve"> </w:t>
      </w:r>
      <w:r>
        <w:rPr>
          <w:rFonts w:ascii="Times New Roman" w:hAnsi="Times New Roman"/>
          <w:b w:val="false"/>
          <w:color w:val="000000"/>
          <w:sz w:val="20"/>
        </w:rPr>
        <w:t>million in shares of our common stock under a new share repurchase program. Our Board of Directors authorized and directed management, working with the Executive Committee of our Board of Directors, to affect the share repurchase program in compliance with applicable legal requirements. The Executive Committee will determine the price, timing, amount and method of such repurchases based on its evaluation of market conditions and other factors, and at prices determined to be attractive and in the best interests of both the Company and its stockholders. This new share repurchase program, which has a term of two years, does not obligate the Company to acquire any particular number of shares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and may be modified, suspended or discontinued at any time. During the three months ended September 30, 2023, the Company has not repurchased any shares of outstanding common stock under this new share repurchase program.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August 16, 2022, the Inflation Reduction Act was signed into law, and imposed a nondeductible 1% excise tax on the net value of certain stock repurchases made after December 31, 2022. For the three and nine months ended September 30, 2023, the excise tax on share repurchases was not material.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Company held 23,569,343</w:t>
      </w:r>
      <w:r>
        <w:rPr>
          <w:rFonts w:ascii="Times New Roman" w:hAnsi="Times New Roman"/>
          <w:color w:val="000000"/>
          <w:sz w:val="20"/>
        </w:rPr>
        <w:t xml:space="preserve"> </w:t>
      </w:r>
      <w:r>
        <w:rPr>
          <w:rFonts w:ascii="Times New Roman" w:hAnsi="Times New Roman"/>
          <w:b w:val="false"/>
          <w:color w:val="000000"/>
          <w:sz w:val="20"/>
        </w:rPr>
        <w:t>shares of its common stock in treasury with an aggregate cost of $797</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360" w:after="283"/>
        <w:jc w:val="left"/>
        <w:rPr>
          <w:rFonts w:ascii="Times New Roman" w:hAnsi="Times New Roman"/>
          <w:sz w:val="20"/>
        </w:rPr>
      </w:pPr>
      <w:r>
        <w:rPr>
          <w:rFonts w:ascii="Times New Roman" w:hAnsi="Times New Roman"/>
          <w:b/>
          <w:color w:val="000000"/>
          <w:sz w:val="20"/>
        </w:rPr>
        <w:t>NOTE 12: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compute basic earnings per share ("Basic EPS") by dividing net income (loss) by the weighted average number of common shares outstanding during the period. We compute diluted earnings per share ("Diluted EPS") by dividing net income (loss) by the sum of the weighted average number of common shares outstanding including the dilutive effect of stock-based awards as determined under the treasury stock method and of our 2026 Senior Notes using the if-converted method, as share settlement is presumed, under GAAP. In periods when we recognize a net loss, we exclude the impact of outstanding stock-based awards and the potential share settlement impact related to our 2026 Senior Notes from the Diluted EPS calculation as their inclusion would have an antidilutive effect. Accordingly, for periods in which we report a net loss, such as for the nine months ended September 30, 2023, Diluted EPS is the same as Basic EPS.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Additionally, in periods when the 2026 Senior Notes are dilutive, interest expense, net of tax, is added back to net income (loss) (the “numerator”) to calculate Diluted EPS.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September</w:t>
      </w:r>
      <w:r>
        <w:rPr>
          <w:rFonts w:ascii="Times New Roman" w:hAnsi="Times New Roman"/>
          <w:color w:val="000000"/>
          <w:sz w:val="20"/>
        </w:rPr>
        <w:t xml:space="preserve"> </w:t>
      </w:r>
      <w:r>
        <w:rPr>
          <w:rFonts w:ascii="Times New Roman" w:hAnsi="Times New Roman"/>
          <w:b w:val="false"/>
          <w:color w:val="000000"/>
          <w:sz w:val="20"/>
        </w:rPr>
        <w:t>30, 2023 and 2022, the market price of a share of our common stock did not exceed the $107.36</w:t>
      </w:r>
      <w:r>
        <w:rPr>
          <w:rFonts w:ascii="Times New Roman" w:hAnsi="Times New Roman"/>
          <w:color w:val="000000"/>
          <w:sz w:val="20"/>
        </w:rPr>
        <w:t xml:space="preserve"> </w:t>
      </w:r>
      <w:r>
        <w:rPr>
          <w:rFonts w:ascii="Times New Roman" w:hAnsi="Times New Roman"/>
          <w:b w:val="false"/>
          <w:color w:val="000000"/>
          <w:sz w:val="20"/>
        </w:rPr>
        <w:t>cap price.</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 xml:space="preserve">Below is a reconciliation of the weighted average number of common shares outstanding used to calculate Diluted EPS for the periods presented: </w:t>
      </w:r>
    </w:p>
    <w:tbl>
      <w:tblPr>
        <w:tblW w:w="10205" w:type="dxa"/>
        <w:jc w:val="left"/>
        <w:tblInd w:w="0" w:type="dxa"/>
        <w:tblLayout w:type="fixed"/>
        <w:tblCellMar>
          <w:top w:w="28" w:type="dxa"/>
          <w:left w:w="28" w:type="dxa"/>
          <w:bottom w:w="28" w:type="dxa"/>
          <w:right w:w="28" w:type="dxa"/>
        </w:tblCellMar>
      </w:tblPr>
      <w:tblGrid>
        <w:gridCol w:w="3774"/>
        <w:gridCol w:w="546"/>
        <w:gridCol w:w="234"/>
        <w:gridCol w:w="868"/>
        <w:gridCol w:w="162"/>
        <w:gridCol w:w="162"/>
        <w:gridCol w:w="234"/>
        <w:gridCol w:w="868"/>
        <w:gridCol w:w="146"/>
        <w:gridCol w:w="146"/>
        <w:gridCol w:w="227"/>
        <w:gridCol w:w="841"/>
        <w:gridCol w:w="178"/>
        <w:gridCol w:w="157"/>
        <w:gridCol w:w="227"/>
        <w:gridCol w:w="841"/>
        <w:gridCol w:w="594"/>
      </w:tblGrid>
      <w:tr>
        <w:trPr/>
        <w:tc>
          <w:tcPr>
            <w:tcW w:w="37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77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5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5291"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 thousands and $ in millions, except per share amounts)</w:t>
            </w:r>
          </w:p>
        </w:tc>
        <w:tc>
          <w:tcPr>
            <w:tcW w:w="594" w:type="dxa"/>
            <w:tcBorders/>
            <w:shd w:fill="FFFFFF" w:val="clear"/>
            <w:vAlign w:val="center"/>
          </w:tcPr>
          <w:p>
            <w:pPr>
              <w:pStyle w:val="TableContents"/>
              <w:bidi w:val="0"/>
              <w:spacing w:before="0" w:after="283"/>
              <w:jc w:val="center"/>
              <w:rPr/>
            </w:pPr>
            <w:r>
              <w:rPr/>
              <w:t> </w:t>
            </w:r>
          </w:p>
        </w:tc>
      </w:tr>
      <w:tr>
        <w:trPr/>
        <w:tc>
          <w:tcPr>
            <w:tcW w:w="3774"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546"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3774" w:type="dxa"/>
            <w:tcBorders/>
            <w:shd w:fill="FFFFFF"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val="false"/>
                <w:color w:val="000000"/>
                <w:sz w:val="20"/>
              </w:rPr>
              <w:t xml:space="preserve">Net income (loss) </w:t>
            </w:r>
            <w:r>
              <w:rPr>
                <w:rFonts w:ascii="Times New Roman" w:hAnsi="Times New Roman"/>
                <w:b w:val="false"/>
                <w:color w:val="000000"/>
                <w:sz w:val="16"/>
              </w:rPr>
              <w:t>(1)</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594" w:type="dxa"/>
            <w:tcBorders/>
            <w:shd w:fill="FFFFFF" w:val="cle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546"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377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Weighted average shares used to compute Basic EPS</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138,190</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139,841</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139,668</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377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Weighted average effect of dilutive securities: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377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Stock-based awards (Note 10)</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78"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w:t>
            </w:r>
          </w:p>
        </w:tc>
        <w:tc>
          <w:tcPr>
            <w:tcW w:w="594" w:type="dxa"/>
            <w:tcBorders/>
            <w:shd w:fill="FFFFFF" w:val="clear"/>
            <w:vAlign w:val="center"/>
          </w:tcPr>
          <w:p>
            <w:pPr>
              <w:pStyle w:val="TableContents"/>
              <w:bidi w:val="0"/>
              <w:spacing w:before="0" w:after="283"/>
              <w:ind w:left="0" w:right="0" w:firstLine="400"/>
              <w:jc w:val="left"/>
              <w:rPr/>
            </w:pPr>
            <w:r>
              <w:rPr/>
              <w:t> </w:t>
            </w:r>
          </w:p>
        </w:tc>
      </w:tr>
      <w:tr>
        <w:trPr/>
        <w:tc>
          <w:tcPr>
            <w:tcW w:w="377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2026 Senior Notes (Note 6)</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4,674</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Weighted average shares used to compute Diluted EPS</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143,286</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139,841</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143,993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 EPS</w:t>
            </w:r>
          </w:p>
        </w:tc>
        <w:tc>
          <w:tcPr>
            <w:tcW w:w="5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0.20</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594" w:type="dxa"/>
            <w:tcBorders/>
            <w:shd w:fill="CFF0FC" w:val="clear"/>
            <w:vAlign w:val="center"/>
          </w:tcPr>
          <w:p>
            <w:pPr>
              <w:pStyle w:val="TableContents"/>
              <w:bidi w:val="0"/>
              <w:spacing w:before="0" w:after="283"/>
              <w:jc w:val="left"/>
              <w:rPr/>
            </w:pPr>
            <w:r>
              <w:rPr/>
              <w:t> </w:t>
            </w:r>
          </w:p>
        </w:tc>
      </w:tr>
      <w:tr>
        <w:trPr/>
        <w:tc>
          <w:tcPr>
            <w:tcW w:w="37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Diluted EPS</w:t>
            </w:r>
          </w:p>
        </w:tc>
        <w:tc>
          <w:tcPr>
            <w:tcW w:w="5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594" w:type="dxa"/>
            <w:tcBorders/>
            <w:shd w:fill="FFFFFF" w:val="cle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60" w:after="283"/>
        <w:jc w:val="left"/>
        <w:rPr>
          <w:rFonts w:ascii="Times New Roman" w:hAnsi="Times New Roman"/>
          <w:b w:val="false"/>
          <w:color w:val="000000"/>
          <w:sz w:val="16"/>
        </w:rPr>
      </w:pPr>
      <w:r>
        <w:rPr>
          <w:rFonts w:ascii="Times New Roman" w:hAnsi="Times New Roman"/>
          <w:b w:val="false"/>
          <w:color w:val="000000"/>
          <w:sz w:val="16"/>
        </w:rPr>
        <w:t>Interest expense, net of taxes, related to the 2026 Senior Notes which was included in the Diluted EPS calculation for the three months ended September 30, 2023 and 2022, and for the nine months ended September 30, 2022, was not material.</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Potential common shares, consisting of outstanding stock options, RSUs, and those shares issuable under the 2026 Senior Notes, totaling approximately 14.2</w:t>
      </w:r>
      <w:r>
        <w:rPr>
          <w:rFonts w:ascii="Times New Roman" w:hAnsi="Times New Roman"/>
          <w:color w:val="000000"/>
          <w:sz w:val="20"/>
        </w:rPr>
        <w:t xml:space="preserve"> </w:t>
      </w:r>
      <w:r>
        <w:rPr>
          <w:rFonts w:ascii="Times New Roman" w:hAnsi="Times New Roman"/>
          <w:b w:val="false"/>
          <w:color w:val="000000"/>
          <w:sz w:val="20"/>
        </w:rPr>
        <w:t>million shares and 21.6</w:t>
      </w:r>
      <w:r>
        <w:rPr>
          <w:rFonts w:ascii="Times New Roman" w:hAnsi="Times New Roman"/>
          <w:color w:val="000000"/>
          <w:sz w:val="20"/>
        </w:rPr>
        <w:t xml:space="preserve"> </w:t>
      </w:r>
      <w:r>
        <w:rPr>
          <w:rFonts w:ascii="Times New Roman" w:hAnsi="Times New Roman"/>
          <w:b w:val="false"/>
          <w:color w:val="000000"/>
          <w:sz w:val="20"/>
        </w:rPr>
        <w:t>million shares for the three and nine months ended September 30, 2023, respectively, and approximately 11.8</w:t>
      </w:r>
      <w:r>
        <w:rPr>
          <w:rFonts w:ascii="Times New Roman" w:hAnsi="Times New Roman"/>
          <w:color w:val="000000"/>
          <w:sz w:val="20"/>
        </w:rPr>
        <w:t xml:space="preserve"> </w:t>
      </w:r>
      <w:r>
        <w:rPr>
          <w:rFonts w:ascii="Times New Roman" w:hAnsi="Times New Roman"/>
          <w:b w:val="false"/>
          <w:color w:val="000000"/>
          <w:sz w:val="20"/>
        </w:rPr>
        <w:t>million shares and 14.1</w:t>
      </w:r>
      <w:r>
        <w:rPr>
          <w:rFonts w:ascii="Times New Roman" w:hAnsi="Times New Roman"/>
          <w:color w:val="000000"/>
          <w:sz w:val="20"/>
        </w:rPr>
        <w:t xml:space="preserve"> </w:t>
      </w:r>
      <w:r>
        <w:rPr>
          <w:rFonts w:ascii="Times New Roman" w:hAnsi="Times New Roman"/>
          <w:b w:val="false"/>
          <w:color w:val="000000"/>
          <w:sz w:val="20"/>
        </w:rPr>
        <w:t>million shares for the three and nine months ended September 30, 2022, respectively, have been excluded from the Diluted EPS calculation because their effect would have been antidilutive. In addition, potential common shares from certain performance-based awards of approximately 1.1</w:t>
      </w:r>
      <w:r>
        <w:rPr>
          <w:rFonts w:ascii="Times New Roman" w:hAnsi="Times New Roman"/>
          <w:color w:val="000000"/>
          <w:sz w:val="20"/>
        </w:rPr>
        <w:t xml:space="preserve"> </w:t>
      </w:r>
      <w:r>
        <w:rPr>
          <w:rFonts w:ascii="Times New Roman" w:hAnsi="Times New Roman"/>
          <w:b w:val="false"/>
          <w:color w:val="000000"/>
          <w:sz w:val="20"/>
        </w:rPr>
        <w:t>million shares for each of the three and nine months ended September 30, 2023, and approximately 0.5</w:t>
      </w:r>
      <w:r>
        <w:rPr>
          <w:rFonts w:ascii="Times New Roman" w:hAnsi="Times New Roman"/>
          <w:color w:val="000000"/>
          <w:sz w:val="20"/>
        </w:rPr>
        <w:t xml:space="preserve"> </w:t>
      </w:r>
      <w:r>
        <w:rPr>
          <w:rFonts w:ascii="Times New Roman" w:hAnsi="Times New Roman"/>
          <w:b w:val="false"/>
          <w:color w:val="000000"/>
          <w:sz w:val="20"/>
        </w:rPr>
        <w:t>million shares and 0.2</w:t>
      </w:r>
      <w:r>
        <w:rPr>
          <w:rFonts w:ascii="Times New Roman" w:hAnsi="Times New Roman"/>
          <w:color w:val="000000"/>
          <w:sz w:val="20"/>
        </w:rPr>
        <w:t xml:space="preserve"> </w:t>
      </w:r>
      <w:r>
        <w:rPr>
          <w:rFonts w:ascii="Times New Roman" w:hAnsi="Times New Roman"/>
          <w:b w:val="false"/>
          <w:color w:val="000000"/>
          <w:sz w:val="20"/>
        </w:rPr>
        <w:t>million shares for the three and nine months ended September 30, 2022, respectively, for which all targets required to trigger vesting had not been achieved, were also excluded from the calculation of weighted average shares used to compute Diluted EPS.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earnings per share amounts are the same for our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noBreakHyphen/>
        <w:t>class method of determining earnings per share.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13: SEGMENT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three</w:t>
      </w:r>
      <w:r>
        <w:rPr>
          <w:rFonts w:ascii="Times New Roman" w:hAnsi="Times New Roman"/>
          <w:color w:val="000000"/>
          <w:sz w:val="20"/>
        </w:rPr>
        <w:t xml:space="preserve"> </w:t>
      </w:r>
      <w:r>
        <w:rPr>
          <w:rFonts w:ascii="Times New Roman" w:hAnsi="Times New Roman"/>
          <w:b w:val="false"/>
          <w:color w:val="000000"/>
          <w:sz w:val="20"/>
        </w:rPr>
        <w:t xml:space="preserve">reportable segments: (1) Tripadvisor Core; (2) Viator; and (3) TheFork. Our Tripadvisor Core segment includes the following revenue sources: (1) Tripadvisor-branded hotels – consisting of hotel meta revenue, primarily click-based advertising revenue, and also hotel B2B revenue, which includes primarily subscription-based advertising and hotel sponsored placements revenue; (2) Tripadvisor-branded display and platform revenue – consisting primarily of display-based advertising revenue (also referred to as "media advertising");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external revenue generated from Tripadvisor restaurant service offerings; and (4) Other revenue – consisting of cruises, alternative accommodation rentals, flights, and rental cars revenue. The nature of the services provided and related revenue recognition policies are summarized by reportable segment in “Note 2: </w:t>
      </w:r>
      <w:r>
        <w:rPr>
          <w:rFonts w:ascii="Times New Roman" w:hAnsi="Times New Roman"/>
          <w:b w:val="false"/>
          <w:i/>
          <w:color w:val="000000"/>
          <w:sz w:val="20"/>
        </w:rPr>
        <w:t>Significant Accounting Policies</w:t>
      </w:r>
      <w:r>
        <w:rPr>
          <w:rFonts w:ascii="Times New Roman" w:hAnsi="Times New Roman"/>
          <w:color w:val="000000"/>
          <w:sz w:val="20"/>
        </w:rPr>
        <w:t xml:space="preserve">” </w:t>
      </w:r>
      <w:r>
        <w:rPr>
          <w:rFonts w:ascii="Times New Roman" w:hAnsi="Times New Roman"/>
          <w:b w:val="false"/>
          <w:color w:val="000000"/>
          <w:sz w:val="20"/>
        </w:rPr>
        <w:t xml:space="preserve">and “Note 3: </w:t>
      </w:r>
      <w:r>
        <w:rPr>
          <w:rFonts w:ascii="Times New Roman" w:hAnsi="Times New Roman"/>
          <w:b w:val="false"/>
          <w:i/>
          <w:color w:val="000000"/>
          <w:sz w:val="20"/>
        </w:rPr>
        <w:t>Revenue Recognition</w:t>
      </w:r>
      <w:r>
        <w:rPr>
          <w:rFonts w:ascii="Times New Roman" w:hAnsi="Times New Roman"/>
          <w:color w:val="000000"/>
          <w:sz w:val="20"/>
        </w:rPr>
        <w:t>”</w:t>
      </w:r>
      <w:r>
        <w:rPr>
          <w:rFonts w:ascii="Times New Roman" w:hAnsi="Times New Roman"/>
          <w:b w:val="false"/>
          <w:color w:val="000000"/>
          <w:sz w:val="20"/>
        </w:rPr>
        <w:t>, in the notes to consolidated financial statements in Item 8 of our Annual Report on Form 10-K for the year ended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(7) restructuring and other related reorganization costs; and (8) non-recurring expenses and income.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Tripadvisor Core segment. Our allocation methodology is periodically evaluated and may change.</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The following tables present our reportable segment information for the three and nine months ended September 30, 2023 and 2022 and include a reconciliation of Adjusted EBITDA to Net income (loss). We record depreciation and amortization, stock-based compensation and other stock-settled obligations, goodwill, long-lived asset and intangible asset impairments, legal reserves and settlements, and other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r>
        <w:rPr>
          <w:rFonts w:ascii="Times New Roman" w:hAnsi="Times New Roman"/>
          <w:color w:val="000000"/>
          <w:sz w:val="20"/>
        </w:rPr>
        <w:t xml:space="preserve"> </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Our segment disclosure includes intersegment revenues, which consist of affiliate marketing fees for services provided by our Tripadvisor Core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the “Corporate &amp; Eliminations” column in the tables below.</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1"/>
        <w:gridCol w:w="146"/>
        <w:gridCol w:w="483"/>
        <w:gridCol w:w="969"/>
        <w:gridCol w:w="166"/>
        <w:gridCol w:w="146"/>
        <w:gridCol w:w="262"/>
        <w:gridCol w:w="524"/>
        <w:gridCol w:w="166"/>
        <w:gridCol w:w="146"/>
        <w:gridCol w:w="349"/>
        <w:gridCol w:w="576"/>
        <w:gridCol w:w="166"/>
        <w:gridCol w:w="146"/>
        <w:gridCol w:w="372"/>
        <w:gridCol w:w="665"/>
        <w:gridCol w:w="166"/>
        <w:gridCol w:w="146"/>
        <w:gridCol w:w="211"/>
        <w:gridCol w:w="421"/>
        <w:gridCol w:w="218"/>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7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1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Tripadvisor Core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80"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8" w:type="dxa"/>
            <w:tcBorders/>
            <w:shd w:fill="FFFFFF" w:val="clear"/>
            <w:vAlign w:val="center"/>
          </w:tcPr>
          <w:p>
            <w:pPr>
              <w:pStyle w:val="TableContents"/>
              <w:bidi w:val="0"/>
              <w:spacing w:before="0" w:after="283"/>
              <w:jc w:val="center"/>
              <w:rPr/>
            </w:pPr>
            <w:r>
              <w:rPr/>
              <w:t> </w:t>
            </w:r>
          </w:p>
        </w:tc>
      </w:tr>
      <w:tr>
        <w:trPr/>
        <w:tc>
          <w:tcPr>
            <w:tcW w:w="3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revenue</w:t>
            </w:r>
          </w:p>
        </w:tc>
        <w:tc>
          <w:tcPr>
            <w:tcW w:w="146" w:type="dxa"/>
            <w:tcBorders/>
            <w:shd w:fill="CFF0FC" w:val="clear"/>
            <w:vAlign w:val="center"/>
          </w:tcPr>
          <w:p>
            <w:pPr>
              <w:pStyle w:val="TableContents"/>
              <w:bidi w:val="0"/>
              <w:spacing w:before="0" w:after="283"/>
              <w:jc w:val="center"/>
              <w:rPr/>
            </w:pPr>
            <w:r>
              <w:rPr/>
              <w:t> </w:t>
            </w:r>
          </w:p>
        </w:tc>
        <w:tc>
          <w:tcPr>
            <w:tcW w:w="4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218" w:type="dxa"/>
            <w:tcBorders/>
            <w:shd w:fill="CFF0FC" w:val="clear"/>
            <w:vAlign w:val="center"/>
          </w:tcPr>
          <w:p>
            <w:pPr>
              <w:pStyle w:val="TableContents"/>
              <w:bidi w:val="0"/>
              <w:spacing w:before="0" w:after="283"/>
              <w:jc w:val="left"/>
              <w:rPr/>
            </w:pPr>
            <w:r>
              <w:rPr/>
              <w:t> </w:t>
            </w:r>
          </w:p>
        </w:tc>
      </w:tr>
      <w:tr>
        <w:trPr/>
        <w:tc>
          <w:tcPr>
            <w:tcW w:w="3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Intersegment revenue</w:t>
            </w:r>
          </w:p>
        </w:tc>
        <w:tc>
          <w:tcPr>
            <w:tcW w:w="146" w:type="dxa"/>
            <w:tcBorders/>
            <w:shd w:fill="FFFFFF" w:val="clear"/>
            <w:vAlign w:val="center"/>
          </w:tcPr>
          <w:p>
            <w:pPr>
              <w:pStyle w:val="TableContents"/>
              <w:bidi w:val="0"/>
              <w:spacing w:before="0" w:after="283"/>
              <w:jc w:val="center"/>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center"/>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FFFFFF" w:val="clear"/>
            <w:vAlign w:val="center"/>
          </w:tcPr>
          <w:p>
            <w:pPr>
              <w:pStyle w:val="TableContents"/>
              <w:bidi w:val="0"/>
              <w:spacing w:before="0" w:after="283"/>
              <w:jc w:val="center"/>
              <w:rPr/>
            </w:pPr>
            <w:r>
              <w:rPr/>
              <w:t> </w:t>
            </w:r>
          </w:p>
        </w:tc>
        <w:tc>
          <w:tcPr>
            <w:tcW w:w="483"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9"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372"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218" w:type="dxa"/>
            <w:tcBorders/>
            <w:shd w:fill="FFFFFF" w:val="clear"/>
            <w:vAlign w:val="center"/>
          </w:tcPr>
          <w:p>
            <w:pPr>
              <w:pStyle w:val="TableContents"/>
              <w:bidi w:val="0"/>
              <w:spacing w:before="0" w:after="283"/>
              <w:jc w:val="left"/>
              <w:rPr/>
            </w:pPr>
            <w:r>
              <w:rPr/>
              <w:t> </w:t>
            </w:r>
          </w:p>
        </w:tc>
      </w:tr>
      <w:tr>
        <w:trPr/>
        <w:tc>
          <w:tcPr>
            <w:tcW w:w="3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14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2"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14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2"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and other related reorganization costs (4)</w:t>
            </w:r>
          </w:p>
        </w:tc>
        <w:tc>
          <w:tcPr>
            <w:tcW w:w="146" w:type="dxa"/>
            <w:tcBorders/>
            <w:shd w:fill="CFF0FC" w:val="clear"/>
            <w:vAlign w:val="center"/>
          </w:tcPr>
          <w:p>
            <w:pPr>
              <w:pStyle w:val="TableContents"/>
              <w:bidi w:val="0"/>
              <w:spacing w:before="0" w:after="283"/>
              <w:jc w:val="center"/>
              <w:rPr/>
            </w:pPr>
            <w:r>
              <w:rPr/>
              <w:t> </w:t>
            </w:r>
          </w:p>
        </w:tc>
        <w:tc>
          <w:tcPr>
            <w:tcW w:w="483"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72"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146" w:type="dxa"/>
            <w:tcBorders/>
            <w:shd w:fill="FFFFFF" w:val="clear"/>
            <w:vAlign w:val="center"/>
          </w:tcPr>
          <w:p>
            <w:pPr>
              <w:pStyle w:val="TableContents"/>
              <w:bidi w:val="0"/>
              <w:spacing w:before="0" w:after="283"/>
              <w:jc w:val="center"/>
              <w:rPr/>
            </w:pPr>
            <w:r>
              <w:rPr/>
              <w:t> </w:t>
            </w:r>
          </w:p>
        </w:tc>
        <w:tc>
          <w:tcPr>
            <w:tcW w:w="14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218" w:type="dxa"/>
            <w:tcBorders/>
            <w:shd w:fill="FFFFFF" w:val="clear"/>
            <w:vAlign w:val="center"/>
          </w:tcPr>
          <w:p>
            <w:pPr>
              <w:pStyle w:val="TableContents"/>
              <w:bidi w:val="0"/>
              <w:spacing w:before="0" w:after="283"/>
              <w:jc w:val="left"/>
              <w:rPr/>
            </w:pPr>
            <w:r>
              <w:rPr/>
              <w:t> </w:t>
            </w:r>
          </w:p>
        </w:tc>
      </w:tr>
      <w:tr>
        <w:trPr/>
        <w:tc>
          <w:tcPr>
            <w:tcW w:w="3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center"/>
              <w:rPr/>
            </w:pPr>
            <w:r>
              <w:rPr/>
              <w:t> </w:t>
            </w:r>
          </w:p>
        </w:tc>
        <w:tc>
          <w:tcPr>
            <w:tcW w:w="14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146" w:type="dxa"/>
            <w:tcBorders/>
            <w:shd w:fill="FFFFFF" w:val="clear"/>
            <w:vAlign w:val="center"/>
          </w:tcPr>
          <w:p>
            <w:pPr>
              <w:pStyle w:val="TableContents"/>
              <w:bidi w:val="0"/>
              <w:spacing w:before="0" w:after="283"/>
              <w:jc w:val="center"/>
              <w:rPr/>
            </w:pPr>
            <w:r>
              <w:rPr/>
              <w:t> </w:t>
            </w:r>
          </w:p>
        </w:tc>
        <w:tc>
          <w:tcPr>
            <w:tcW w:w="14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218" w:type="dxa"/>
            <w:tcBorders/>
            <w:shd w:fill="FFFFFF" w:val="clear"/>
            <w:vAlign w:val="center"/>
          </w:tcPr>
          <w:p>
            <w:pPr>
              <w:pStyle w:val="TableContents"/>
              <w:bidi w:val="0"/>
              <w:spacing w:before="0" w:after="283"/>
              <w:jc w:val="left"/>
              <w:rPr/>
            </w:pPr>
            <w:r>
              <w:rPr/>
              <w:t> </w:t>
            </w:r>
          </w:p>
        </w:tc>
      </w:tr>
      <w:tr>
        <w:trPr/>
        <w:tc>
          <w:tcPr>
            <w:tcW w:w="3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146" w:type="dxa"/>
            <w:tcBorders/>
            <w:shd w:fill="CFF0FC" w:val="clear"/>
            <w:vAlign w:val="center"/>
          </w:tcPr>
          <w:p>
            <w:pPr>
              <w:pStyle w:val="TableContents"/>
              <w:bidi w:val="0"/>
              <w:spacing w:before="0" w:after="283"/>
              <w:jc w:val="center"/>
              <w:rPr/>
            </w:pPr>
            <w:r>
              <w:rPr/>
              <w:t> </w:t>
            </w:r>
          </w:p>
        </w:tc>
        <w:tc>
          <w:tcPr>
            <w:tcW w:w="14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14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713" w:type="dxa"/>
        <w:jc w:val="left"/>
        <w:tblInd w:w="0" w:type="dxa"/>
        <w:tblLayout w:type="fixed"/>
        <w:tblCellMar>
          <w:top w:w="28" w:type="dxa"/>
          <w:left w:w="28" w:type="dxa"/>
          <w:bottom w:w="28" w:type="dxa"/>
          <w:right w:w="28" w:type="dxa"/>
        </w:tblCellMar>
      </w:tblPr>
      <w:tblGrid>
        <w:gridCol w:w="3016"/>
        <w:gridCol w:w="146"/>
        <w:gridCol w:w="539"/>
        <w:gridCol w:w="1081"/>
        <w:gridCol w:w="146"/>
        <w:gridCol w:w="146"/>
        <w:gridCol w:w="280"/>
        <w:gridCol w:w="560"/>
        <w:gridCol w:w="146"/>
        <w:gridCol w:w="146"/>
        <w:gridCol w:w="374"/>
        <w:gridCol w:w="616"/>
        <w:gridCol w:w="166"/>
        <w:gridCol w:w="146"/>
        <w:gridCol w:w="377"/>
        <w:gridCol w:w="673"/>
        <w:gridCol w:w="166"/>
        <w:gridCol w:w="146"/>
        <w:gridCol w:w="211"/>
        <w:gridCol w:w="42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Tripadvisor Core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40"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revenue</w:t>
            </w:r>
          </w:p>
        </w:tc>
        <w:tc>
          <w:tcPr>
            <w:tcW w:w="146" w:type="dxa"/>
            <w:tcBorders/>
            <w:shd w:fill="CFF0FC" w:val="clear"/>
            <w:vAlign w:val="center"/>
          </w:tcPr>
          <w:p>
            <w:pPr>
              <w:pStyle w:val="TableContents"/>
              <w:bidi w:val="0"/>
              <w:spacing w:before="0" w:after="283"/>
              <w:jc w:val="center"/>
              <w:rPr/>
            </w:pPr>
            <w:r>
              <w:rPr/>
              <w:t> </w:t>
            </w:r>
          </w:p>
        </w:tc>
        <w:tc>
          <w:tcPr>
            <w:tcW w:w="5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Intersegment revenue</w:t>
            </w:r>
          </w:p>
        </w:tc>
        <w:tc>
          <w:tcPr>
            <w:tcW w:w="146" w:type="dxa"/>
            <w:tcBorders/>
            <w:shd w:fill="FFFFFF" w:val="clear"/>
            <w:vAlign w:val="center"/>
          </w:tcPr>
          <w:p>
            <w:pPr>
              <w:pStyle w:val="TableContents"/>
              <w:bidi w:val="0"/>
              <w:spacing w:before="0" w:after="283"/>
              <w:jc w:val="center"/>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FFFFFF" w:val="clear"/>
            <w:vAlign w:val="center"/>
          </w:tcPr>
          <w:p>
            <w:pPr>
              <w:pStyle w:val="TableContents"/>
              <w:bidi w:val="0"/>
              <w:spacing w:before="0" w:after="283"/>
              <w:jc w:val="center"/>
              <w:rPr/>
            </w:pPr>
            <w:r>
              <w:rPr/>
              <w:t> </w:t>
            </w:r>
          </w:p>
        </w:tc>
        <w:tc>
          <w:tcPr>
            <w:tcW w:w="53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51"/>
        <w:gridCol w:w="146"/>
        <w:gridCol w:w="476"/>
        <w:gridCol w:w="955"/>
        <w:gridCol w:w="166"/>
        <w:gridCol w:w="146"/>
        <w:gridCol w:w="260"/>
        <w:gridCol w:w="520"/>
        <w:gridCol w:w="166"/>
        <w:gridCol w:w="146"/>
        <w:gridCol w:w="304"/>
        <w:gridCol w:w="612"/>
        <w:gridCol w:w="166"/>
        <w:gridCol w:w="146"/>
        <w:gridCol w:w="315"/>
        <w:gridCol w:w="722"/>
        <w:gridCol w:w="166"/>
        <w:gridCol w:w="146"/>
        <w:gridCol w:w="211"/>
        <w:gridCol w:w="571"/>
        <w:gridCol w:w="214"/>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Tripadvisor Core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94"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4" w:type="dxa"/>
            <w:tcBorders/>
            <w:shd w:fill="FFFFFF" w:val="cle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revenue</w:t>
            </w:r>
          </w:p>
        </w:tc>
        <w:tc>
          <w:tcPr>
            <w:tcW w:w="146" w:type="dxa"/>
            <w:tcBorders/>
            <w:shd w:fill="CFF0FC" w:val="clear"/>
            <w:vAlign w:val="center"/>
          </w:tcPr>
          <w:p>
            <w:pPr>
              <w:pStyle w:val="TableContents"/>
              <w:bidi w:val="0"/>
              <w:spacing w:before="0" w:after="283"/>
              <w:jc w:val="center"/>
              <w:rPr/>
            </w:pPr>
            <w:r>
              <w:rPr/>
              <w:t> </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214"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Intersegment revenue</w:t>
            </w:r>
          </w:p>
        </w:tc>
        <w:tc>
          <w:tcPr>
            <w:tcW w:w="146" w:type="dxa"/>
            <w:tcBorders/>
            <w:shd w:fill="FFFFFF" w:val="clear"/>
            <w:vAlign w:val="center"/>
          </w:tcPr>
          <w:p>
            <w:pPr>
              <w:pStyle w:val="TableContents"/>
              <w:bidi w:val="0"/>
              <w:spacing w:before="0" w:after="283"/>
              <w:jc w:val="center"/>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center"/>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FFFFFF" w:val="clear"/>
            <w:vAlign w:val="center"/>
          </w:tcPr>
          <w:p>
            <w:pPr>
              <w:pStyle w:val="TableContents"/>
              <w:bidi w:val="0"/>
              <w:spacing w:before="0" w:after="283"/>
              <w:jc w:val="center"/>
              <w:rPr/>
            </w:pPr>
            <w:r>
              <w:rPr/>
              <w:t> </w:t>
            </w:r>
          </w:p>
        </w:tc>
        <w:tc>
          <w:tcPr>
            <w:tcW w:w="476"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315"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214"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14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15"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14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15"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and other related reorganization costs (4)</w:t>
            </w:r>
          </w:p>
        </w:tc>
        <w:tc>
          <w:tcPr>
            <w:tcW w:w="146" w:type="dxa"/>
            <w:tcBorders/>
            <w:shd w:fill="CFF0FC" w:val="clear"/>
            <w:vAlign w:val="center"/>
          </w:tcPr>
          <w:p>
            <w:pPr>
              <w:pStyle w:val="TableContents"/>
              <w:bidi w:val="0"/>
              <w:spacing w:before="0" w:after="283"/>
              <w:jc w:val="center"/>
              <w:rPr/>
            </w:pPr>
            <w:r>
              <w:rPr/>
              <w:t> </w:t>
            </w:r>
          </w:p>
        </w:tc>
        <w:tc>
          <w:tcPr>
            <w:tcW w:w="476"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60"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15"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Non-recurring income (expense) (5)</w:t>
            </w:r>
          </w:p>
        </w:tc>
        <w:tc>
          <w:tcPr>
            <w:tcW w:w="146" w:type="dxa"/>
            <w:tcBorders/>
            <w:shd w:fill="FFFFFF" w:val="clear"/>
            <w:vAlign w:val="center"/>
          </w:tcPr>
          <w:p>
            <w:pPr>
              <w:pStyle w:val="TableContents"/>
              <w:bidi w:val="0"/>
              <w:spacing w:before="0" w:after="283"/>
              <w:jc w:val="center"/>
              <w:rPr/>
            </w:pPr>
            <w:r>
              <w:rPr/>
              <w:t> </w:t>
            </w:r>
          </w:p>
        </w:tc>
        <w:tc>
          <w:tcPr>
            <w:tcW w:w="14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15"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146" w:type="dxa"/>
            <w:tcBorders/>
            <w:shd w:fill="CFF0FC" w:val="clear"/>
            <w:vAlign w:val="center"/>
          </w:tcPr>
          <w:p>
            <w:pPr>
              <w:pStyle w:val="TableContents"/>
              <w:bidi w:val="0"/>
              <w:spacing w:before="0" w:after="283"/>
              <w:jc w:val="center"/>
              <w:rPr/>
            </w:pPr>
            <w:r>
              <w:rPr/>
              <w:t> </w:t>
            </w:r>
          </w:p>
        </w:tc>
        <w:tc>
          <w:tcPr>
            <w:tcW w:w="14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214"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center"/>
              <w:rPr/>
            </w:pPr>
            <w:r>
              <w:rPr/>
              <w:t> </w:t>
            </w:r>
          </w:p>
        </w:tc>
        <w:tc>
          <w:tcPr>
            <w:tcW w:w="14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146" w:type="dxa"/>
            <w:tcBorders/>
            <w:shd w:fill="CFF0FC" w:val="clear"/>
            <w:vAlign w:val="center"/>
          </w:tcPr>
          <w:p>
            <w:pPr>
              <w:pStyle w:val="TableContents"/>
              <w:bidi w:val="0"/>
              <w:spacing w:before="0" w:after="283"/>
              <w:jc w:val="center"/>
              <w:rPr/>
            </w:pPr>
            <w:r>
              <w:rPr/>
              <w:t> </w:t>
            </w:r>
          </w:p>
        </w:tc>
        <w:tc>
          <w:tcPr>
            <w:tcW w:w="1431"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214"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146" w:type="dxa"/>
            <w:tcBorders/>
            <w:shd w:fill="FFFFFF" w:val="clear"/>
            <w:vAlign w:val="center"/>
          </w:tcPr>
          <w:p>
            <w:pPr>
              <w:pStyle w:val="TableContents"/>
              <w:bidi w:val="0"/>
              <w:spacing w:before="0" w:after="283"/>
              <w:jc w:val="center"/>
              <w:rPr/>
            </w:pPr>
            <w:r>
              <w:rPr/>
              <w:t> </w:t>
            </w:r>
          </w:p>
        </w:tc>
        <w:tc>
          <w:tcPr>
            <w:tcW w:w="14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center"/>
              <w:rPr/>
            </w:pPr>
            <w:r>
              <w:rPr/>
              <w:t> </w:t>
            </w:r>
          </w:p>
        </w:tc>
        <w:tc>
          <w:tcPr>
            <w:tcW w:w="1431"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83" w:type="dxa"/>
        <w:jc w:val="left"/>
        <w:tblInd w:w="0" w:type="dxa"/>
        <w:tblLayout w:type="fixed"/>
        <w:tblCellMar>
          <w:top w:w="28" w:type="dxa"/>
          <w:left w:w="28" w:type="dxa"/>
          <w:bottom w:w="28" w:type="dxa"/>
          <w:right w:w="28" w:type="dxa"/>
        </w:tblCellMar>
      </w:tblPr>
      <w:tblGrid>
        <w:gridCol w:w="3016"/>
        <w:gridCol w:w="146"/>
        <w:gridCol w:w="539"/>
        <w:gridCol w:w="1081"/>
        <w:gridCol w:w="146"/>
        <w:gridCol w:w="146"/>
        <w:gridCol w:w="280"/>
        <w:gridCol w:w="560"/>
        <w:gridCol w:w="166"/>
        <w:gridCol w:w="146"/>
        <w:gridCol w:w="355"/>
        <w:gridCol w:w="635"/>
        <w:gridCol w:w="166"/>
        <w:gridCol w:w="146"/>
        <w:gridCol w:w="377"/>
        <w:gridCol w:w="673"/>
        <w:gridCol w:w="166"/>
        <w:gridCol w:w="146"/>
        <w:gridCol w:w="211"/>
        <w:gridCol w:w="57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Tripadvisor Core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10"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revenue</w:t>
            </w:r>
          </w:p>
        </w:tc>
        <w:tc>
          <w:tcPr>
            <w:tcW w:w="146" w:type="dxa"/>
            <w:tcBorders/>
            <w:shd w:fill="CFF0FC" w:val="clear"/>
            <w:vAlign w:val="center"/>
          </w:tcPr>
          <w:p>
            <w:pPr>
              <w:pStyle w:val="TableContents"/>
              <w:bidi w:val="0"/>
              <w:spacing w:before="0" w:after="283"/>
              <w:jc w:val="center"/>
              <w:rPr/>
            </w:pPr>
            <w:r>
              <w:rPr/>
              <w:t> </w:t>
            </w:r>
          </w:p>
        </w:tc>
        <w:tc>
          <w:tcPr>
            <w:tcW w:w="5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Intersegment revenue</w:t>
            </w:r>
          </w:p>
        </w:tc>
        <w:tc>
          <w:tcPr>
            <w:tcW w:w="146" w:type="dxa"/>
            <w:tcBorders/>
            <w:shd w:fill="FFFFFF" w:val="clear"/>
            <w:vAlign w:val="center"/>
          </w:tcPr>
          <w:p>
            <w:pPr>
              <w:pStyle w:val="TableContents"/>
              <w:bidi w:val="0"/>
              <w:spacing w:before="0" w:after="283"/>
              <w:jc w:val="center"/>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FFFFFF" w:val="clear"/>
            <w:vAlign w:val="center"/>
          </w:tcPr>
          <w:p>
            <w:pPr>
              <w:pStyle w:val="TableContents"/>
              <w:bidi w:val="0"/>
              <w:spacing w:before="0" w:after="283"/>
              <w:jc w:val="center"/>
              <w:rPr/>
            </w:pPr>
            <w:r>
              <w:rPr/>
              <w:t> </w:t>
            </w:r>
          </w:p>
        </w:tc>
        <w:tc>
          <w:tcPr>
            <w:tcW w:w="53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Legal reserves and settlements</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146" w:type="dxa"/>
            <w:tcBorders/>
            <w:shd w:fill="CFF0FC" w:val="clear"/>
            <w:vAlign w:val="center"/>
          </w:tcPr>
          <w:p>
            <w:pPr>
              <w:pStyle w:val="TableContents"/>
              <w:bidi w:val="0"/>
              <w:spacing w:before="0" w:after="283"/>
              <w:jc w:val="center"/>
              <w:rPr/>
            </w:pPr>
            <w:r>
              <w:rPr/>
              <w:t> </w:t>
            </w:r>
          </w:p>
        </w:tc>
        <w:tc>
          <w:tcPr>
            <w:tcW w:w="162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rFonts w:ascii="Times New Roman" w:hAnsi="Times New Roman"/>
          <w:sz w:val="24"/>
        </w:rPr>
      </w:pPr>
      <w:r>
        <w:rPr>
          <w:rFonts w:ascii="Times New Roman" w:hAnsi="Times New Roman"/>
          <w:b w:val="false"/>
          <w:color w:val="000000"/>
          <w:sz w:val="16"/>
        </w:rPr>
        <w:t>Corporate general and administrative personnel costs of $2</w:t>
      </w:r>
      <w:r>
        <w:rPr>
          <w:rFonts w:ascii="Times New Roman" w:hAnsi="Times New Roman"/>
          <w:color w:val="000000"/>
          <w:sz w:val="24"/>
        </w:rPr>
        <w:t xml:space="preserve"> </w:t>
      </w:r>
      <w:r>
        <w:rPr>
          <w:rFonts w:ascii="Times New Roman" w:hAnsi="Times New Roman"/>
          <w:b w:val="false"/>
          <w:color w:val="000000"/>
          <w:sz w:val="16"/>
        </w:rPr>
        <w:t>million and $5</w:t>
      </w:r>
      <w:r>
        <w:rPr>
          <w:rFonts w:ascii="Times New Roman" w:hAnsi="Times New Roman"/>
          <w:color w:val="000000"/>
          <w:sz w:val="24"/>
        </w:rPr>
        <w:t xml:space="preserve"> </w:t>
      </w:r>
      <w:r>
        <w:rPr>
          <w:rFonts w:ascii="Times New Roman" w:hAnsi="Times New Roman"/>
          <w:b w:val="false"/>
          <w:color w:val="000000"/>
          <w:sz w:val="16"/>
        </w:rPr>
        <w:t>million for the three and nine months ended September 30, 2023, respectively, and $2</w:t>
      </w:r>
      <w:r>
        <w:rPr>
          <w:rFonts w:ascii="Times New Roman" w:hAnsi="Times New Roman"/>
          <w:color w:val="000000"/>
          <w:sz w:val="24"/>
        </w:rPr>
        <w:t xml:space="preserve"> </w:t>
      </w:r>
      <w:r>
        <w:rPr>
          <w:rFonts w:ascii="Times New Roman" w:hAnsi="Times New Roman"/>
          <w:b w:val="false"/>
          <w:color w:val="000000"/>
          <w:sz w:val="16"/>
        </w:rPr>
        <w:t>million and $4</w:t>
      </w:r>
      <w:r>
        <w:rPr>
          <w:rFonts w:ascii="Times New Roman" w:hAnsi="Times New Roman"/>
          <w:color w:val="000000"/>
          <w:sz w:val="24"/>
        </w:rPr>
        <w:t xml:space="preserve"> </w:t>
      </w:r>
      <w:r>
        <w:rPr>
          <w:rFonts w:ascii="Times New Roman" w:hAnsi="Times New Roman"/>
          <w:b w:val="false"/>
          <w:color w:val="000000"/>
          <w:sz w:val="16"/>
        </w:rPr>
        <w:t>million for the three and nine months ended September 30, 2022, respectively, were allocated to the Viator and TheFork segments.</w:t>
      </w:r>
      <w:r>
        <w:rPr>
          <w:rFonts w:ascii="Times New Roman" w:hAnsi="Times New Roman"/>
          <w:color w:val="000000"/>
          <w:sz w:val="24"/>
        </w:rPr>
        <w:t xml:space="preserve">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left"/>
        <w:rPr>
          <w:rFonts w:ascii="Times New Roman" w:hAnsi="Times New Roman"/>
          <w:sz w:val="24"/>
        </w:rPr>
      </w:pPr>
      <w:r>
        <w:rPr>
          <w:rFonts w:ascii="Times New Roman" w:hAnsi="Times New Roman"/>
          <w:b w:val="false"/>
          <w:color w:val="000000"/>
          <w:sz w:val="16"/>
        </w:rPr>
        <w:t>Includes allocated corporate general and administrative personnel costs from our Tripadvisor Core segment of $1</w:t>
      </w:r>
      <w:r>
        <w:rPr>
          <w:rFonts w:ascii="Times New Roman" w:hAnsi="Times New Roman"/>
          <w:color w:val="000000"/>
          <w:sz w:val="24"/>
        </w:rPr>
        <w:t xml:space="preserve"> </w:t>
      </w:r>
      <w:r>
        <w:rPr>
          <w:rFonts w:ascii="Times New Roman" w:hAnsi="Times New Roman"/>
          <w:b w:val="false"/>
          <w:color w:val="000000"/>
          <w:sz w:val="16"/>
        </w:rPr>
        <w:t>million and $2</w:t>
      </w:r>
      <w:r>
        <w:rPr>
          <w:rFonts w:ascii="Times New Roman" w:hAnsi="Times New Roman"/>
          <w:color w:val="000000"/>
          <w:sz w:val="24"/>
        </w:rPr>
        <w:t xml:space="preserve"> </w:t>
      </w:r>
      <w:r>
        <w:rPr>
          <w:rFonts w:ascii="Times New Roman" w:hAnsi="Times New Roman"/>
          <w:b w:val="false"/>
          <w:color w:val="000000"/>
          <w:sz w:val="16"/>
        </w:rPr>
        <w:t>million for the three and nine months ended September 30, 2023, respectively, and $1</w:t>
      </w:r>
      <w:r>
        <w:rPr>
          <w:rFonts w:ascii="Times New Roman" w:hAnsi="Times New Roman"/>
          <w:color w:val="000000"/>
          <w:sz w:val="24"/>
        </w:rPr>
        <w:t xml:space="preserve"> </w:t>
      </w:r>
      <w:r>
        <w:rPr>
          <w:rFonts w:ascii="Times New Roman" w:hAnsi="Times New Roman"/>
          <w:b w:val="false"/>
          <w:color w:val="000000"/>
          <w:sz w:val="16"/>
        </w:rPr>
        <w:t>million and $2</w:t>
      </w:r>
      <w:r>
        <w:rPr>
          <w:rFonts w:ascii="Times New Roman" w:hAnsi="Times New Roman"/>
          <w:color w:val="000000"/>
          <w:sz w:val="24"/>
        </w:rPr>
        <w:t xml:space="preserve"> </w:t>
      </w:r>
      <w:r>
        <w:rPr>
          <w:rFonts w:ascii="Times New Roman" w:hAnsi="Times New Roman"/>
          <w:b w:val="false"/>
          <w:color w:val="000000"/>
          <w:sz w:val="16"/>
        </w:rPr>
        <w:t xml:space="preserve">million for the three and nine months ended September 30, 2022, respectively.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(3)</w:t>
      </w:r>
    </w:p>
    <w:p>
      <w:pPr>
        <w:pStyle w:val="TextBody"/>
        <w:bidi w:val="0"/>
        <w:spacing w:before="0" w:after="0"/>
        <w:jc w:val="left"/>
        <w:rPr>
          <w:rFonts w:ascii="Times New Roman" w:hAnsi="Times New Roman"/>
          <w:sz w:val="24"/>
        </w:rPr>
      </w:pPr>
      <w:r>
        <w:rPr>
          <w:rFonts w:ascii="Times New Roman" w:hAnsi="Times New Roman"/>
          <w:b w:val="false"/>
          <w:color w:val="000000"/>
          <w:sz w:val="16"/>
        </w:rPr>
        <w:t>Includes allocated corporate general and administrative personnel costs from our Tripadvisor Core segment of $1</w:t>
      </w:r>
      <w:r>
        <w:rPr>
          <w:rFonts w:ascii="Times New Roman" w:hAnsi="Times New Roman"/>
          <w:color w:val="000000"/>
          <w:sz w:val="24"/>
        </w:rPr>
        <w:t xml:space="preserve"> </w:t>
      </w:r>
      <w:r>
        <w:rPr>
          <w:rFonts w:ascii="Times New Roman" w:hAnsi="Times New Roman"/>
          <w:b w:val="false"/>
          <w:color w:val="000000"/>
          <w:sz w:val="16"/>
        </w:rPr>
        <w:t>million and $3</w:t>
      </w:r>
      <w:r>
        <w:rPr>
          <w:rFonts w:ascii="Times New Roman" w:hAnsi="Times New Roman"/>
          <w:color w:val="000000"/>
          <w:sz w:val="24"/>
        </w:rPr>
        <w:t xml:space="preserve"> </w:t>
      </w:r>
      <w:r>
        <w:rPr>
          <w:rFonts w:ascii="Times New Roman" w:hAnsi="Times New Roman"/>
          <w:b w:val="false"/>
          <w:color w:val="000000"/>
          <w:sz w:val="16"/>
        </w:rPr>
        <w:t>million for the three and nine months ended September 30, 2023, respectively, and $1</w:t>
      </w:r>
      <w:r>
        <w:rPr>
          <w:rFonts w:ascii="Times New Roman" w:hAnsi="Times New Roman"/>
          <w:color w:val="000000"/>
          <w:sz w:val="24"/>
        </w:rPr>
        <w:t xml:space="preserve"> </w:t>
      </w:r>
      <w:r>
        <w:rPr>
          <w:rFonts w:ascii="Times New Roman" w:hAnsi="Times New Roman"/>
          <w:b w:val="false"/>
          <w:color w:val="000000"/>
          <w:sz w:val="16"/>
        </w:rPr>
        <w:t>million and $2</w:t>
      </w:r>
      <w:r>
        <w:rPr>
          <w:rFonts w:ascii="Times New Roman" w:hAnsi="Times New Roman"/>
          <w:color w:val="000000"/>
          <w:sz w:val="24"/>
        </w:rPr>
        <w:t xml:space="preserve"> </w:t>
      </w:r>
      <w:r>
        <w:rPr>
          <w:rFonts w:ascii="Times New Roman" w:hAnsi="Times New Roman"/>
          <w:b w:val="false"/>
          <w:color w:val="000000"/>
          <w:sz w:val="16"/>
        </w:rPr>
        <w:t>million for the three and nine months ended September 30, 2022, respectively.</w:t>
      </w:r>
      <w:r>
        <w:rPr>
          <w:rFonts w:ascii="Times New Roman" w:hAnsi="Times New Roman"/>
          <w:color w:val="000000"/>
          <w:sz w:val="24"/>
        </w:rPr>
        <w:t xml:space="preserve">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(4)</w:t>
      </w:r>
    </w:p>
    <w:p>
      <w:pPr>
        <w:pStyle w:val="TextBody"/>
        <w:bidi w:val="0"/>
        <w:spacing w:before="0" w:after="0"/>
        <w:jc w:val="left"/>
        <w:rPr>
          <w:rFonts w:ascii="Times New Roman" w:hAnsi="Times New Roman"/>
          <w:sz w:val="24"/>
        </w:rPr>
      </w:pPr>
      <w:r>
        <w:rPr>
          <w:rFonts w:ascii="Times New Roman" w:hAnsi="Times New Roman"/>
          <w:b w:val="false"/>
          <w:color w:val="000000"/>
          <w:sz w:val="16"/>
        </w:rPr>
        <w:t xml:space="preserve">Refer to “Note 5: </w:t>
      </w:r>
      <w:r>
        <w:rPr>
          <w:rFonts w:ascii="Times New Roman" w:hAnsi="Times New Roman"/>
          <w:b w:val="false"/>
          <w:i/>
          <w:color w:val="000000"/>
          <w:sz w:val="16"/>
        </w:rPr>
        <w:t>Accrued Expenses and Other Current Liabilities</w:t>
      </w:r>
      <w:r>
        <w:rPr>
          <w:rFonts w:ascii="Times New Roman" w:hAnsi="Times New Roman"/>
          <w:color w:val="000000"/>
          <w:sz w:val="24"/>
        </w:rPr>
        <w:t xml:space="preserve">” </w:t>
      </w:r>
      <w:r>
        <w:rPr>
          <w:rFonts w:ascii="Times New Roman" w:hAnsi="Times New Roman"/>
          <w:b w:val="false"/>
          <w:color w:val="000000"/>
          <w:sz w:val="16"/>
        </w:rPr>
        <w:t>for information regarding restructuring and other related reorganization costs.</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(5)</w:t>
      </w:r>
    </w:p>
    <w:p>
      <w:pPr>
        <w:pStyle w:val="TextBody"/>
        <w:bidi w:val="0"/>
        <w:jc w:val="left"/>
        <w:rPr>
          <w:rFonts w:ascii="Times New Roman" w:hAnsi="Times New Roman"/>
          <w:sz w:val="24"/>
        </w:rPr>
      </w:pPr>
      <w:r>
        <w:rPr>
          <w:rFonts w:ascii="Times New Roman" w:hAnsi="Times New Roman"/>
          <w:b w:val="false"/>
          <w:color w:val="000000"/>
          <w:sz w:val="16"/>
        </w:rPr>
        <w:t>The Company expensed $3</w:t>
      </w:r>
      <w:r>
        <w:rPr>
          <w:rFonts w:ascii="Times New Roman" w:hAnsi="Times New Roman"/>
          <w:color w:val="000000"/>
          <w:sz w:val="24"/>
        </w:rPr>
        <w:t xml:space="preserve"> </w:t>
      </w:r>
      <w:r>
        <w:rPr>
          <w:rFonts w:ascii="Times New Roman" w:hAnsi="Times New Roman"/>
          <w:b w:val="false"/>
          <w:color w:val="000000"/>
          <w:sz w:val="16"/>
        </w:rPr>
        <w:t>million of previously capitalized transaction costs during the three months ended March 31, 2023, to general and administrative expenses on our unaudited condensed consolidated statement of operations. The Company considers such costs to be non-recurring in nature.</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Customer Concentrations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Refer to “Note 4: </w:t>
      </w:r>
      <w:r>
        <w:rPr>
          <w:rFonts w:ascii="Times New Roman" w:hAnsi="Times New Roman"/>
          <w:b w:val="false"/>
          <w:i/>
          <w:color w:val="000000"/>
          <w:sz w:val="20"/>
        </w:rPr>
        <w:t>Financial Instruments and Fair Value Measurements</w:t>
      </w:r>
      <w:r>
        <w:rPr>
          <w:rFonts w:ascii="Times New Roman" w:hAnsi="Times New Roman"/>
          <w:color w:val="000000"/>
          <w:sz w:val="20"/>
        </w:rPr>
        <w:t xml:space="preserve">” </w:t>
      </w:r>
      <w:r>
        <w:rPr>
          <w:rFonts w:ascii="Times New Roman" w:hAnsi="Times New Roman"/>
          <w:b w:val="false"/>
          <w:color w:val="000000"/>
          <w:sz w:val="20"/>
        </w:rPr>
        <w:t>under the section entitled “Risks and Concentrations” for information regarding our major customer concentrations.</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Product Information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Revenue sources within our Tripadvisor Core segment, consisting of Tripadvisor-branded hotels revenue, Tripadvisor-branded display and platform revenue, Tripadvisor experiences and dining revenue, and other revenue, along with our Viator and TheFork segment revenue sources, comprise our products. Refer to “Note 3: </w:t>
      </w:r>
      <w:r>
        <w:rPr>
          <w:rFonts w:ascii="Times New Roman" w:hAnsi="Times New Roman"/>
          <w:b w:val="false"/>
          <w:i/>
          <w:color w:val="000000"/>
          <w:sz w:val="20"/>
        </w:rPr>
        <w:t>Revenue Recognition</w:t>
      </w:r>
      <w:r>
        <w:rPr>
          <w:rFonts w:ascii="Times New Roman" w:hAnsi="Times New Roman"/>
          <w:color w:val="000000"/>
          <w:sz w:val="20"/>
        </w:rPr>
        <w:t xml:space="preserve">” </w:t>
      </w:r>
      <w:r>
        <w:rPr>
          <w:rFonts w:ascii="Times New Roman" w:hAnsi="Times New Roman"/>
          <w:b w:val="false"/>
          <w:color w:val="000000"/>
          <w:sz w:val="20"/>
        </w:rPr>
        <w:t>for our revenue by product.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00"/>
        <w:jc w:val="left"/>
        <w:rPr>
          <w:rFonts w:ascii="Times New Roman" w:hAnsi="Times New Roman"/>
          <w:sz w:val="20"/>
        </w:rPr>
      </w:pPr>
      <w:bookmarkStart w:id="8" w:name="item2_management_discussion_and_anal"/>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(this “Quarterly Report”), and the consolidated financial statements and accompanying notes, as well as Management’s Discussion and Analysis of Financial Condition and Results of Operations contained in our Annual Report on Form 10-K for the year ended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2022, Part I, Item 1A, “</w:t>
      </w:r>
      <w:r>
        <w:rPr>
          <w:rFonts w:ascii="Times New Roman" w:hAnsi="Times New Roman"/>
          <w:b w:val="false"/>
          <w:i/>
          <w:color w:val="000000"/>
          <w:sz w:val="20"/>
        </w:rPr>
        <w:t>Risk Factors,</w:t>
      </w:r>
      <w:r>
        <w:rPr>
          <w:rFonts w:ascii="Times New Roman" w:hAnsi="Times New Roman"/>
          <w:color w:val="000000"/>
          <w:sz w:val="20"/>
        </w:rPr>
        <w:t xml:space="preserve">” </w:t>
      </w:r>
      <w:r>
        <w:rPr>
          <w:rFonts w:ascii="Times New Roman" w:hAnsi="Times New Roman"/>
          <w:b w:val="false"/>
          <w:color w:val="000000"/>
          <w:sz w:val="20"/>
        </w:rPr>
        <w:t>as well as those discussed elsewhere in this Quarterly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Tripadvisor group operates as a family of brands with the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Tripadvisor Core’s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user-generated content, or UGC, in the form of ratings and reviews for destinations, points-of-interest, or POIs, experiences, alternative accommodation rentals, restaurants, and cruises in over 40 countries and over 20 languages across the world. As of December 31, 2022, Tripadvisor offered more than 1 billion user-generated ratings and reviews on nearly 8 million experiences, accommodations, restaurants, airlines, and cruises. Tripadvisor’s online platform attracts one of the world’s largest travel audiences, with hundreds of millions of visitors annually.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Viator’s purpose is to bring more wonder into the world—to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operators around the globe. Viator's online marketplace is comprehensive and easy-to-use, connecting millions of travelers to the world’s largest supply of bookable tours, activities and attractions—over 300,000 experiences from more than 50,000 operators as of December 31, 2022. Viator is an experiences OTA singularly focused on the needs of both travelers and operators with the largest supply of bookable experiences available to travelers.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TheFork’s purpose is to deliver happiness through amazing dining experiences. TheFork delivers on its purpose by providing an online marketplace that enables diners to discover and book online reservations at more than 55,000 restaurants in 12 countries, as of December 31, 2022, across the UK, western and central Europe, and Australia. TheFork has become an urban, gastronomic guide with a strong community that offers more than 20 million restaurant reviews.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Tripadvisor group operates in a unique position in the travel and experiences ecosystem:</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Large, global, and growing addressable markets including travel, experiences, dining, and digital advertising;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large, global, and engaged audience making meaningful contributions that reinforces a relationship of trust and community;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wealth of high-intent data that comes from serving our audience of travelers and experience seekers at different points along their journey - whether they are engaging on our platforms for inspiration on their next experience, planning a trip, or making a purchasing decision.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Tripadvisor group is united in a shared purpose and vision, but operates different value creation strategies for each segment. We manage priorities and levels of investment based upon factors that include the size and maturity of each segment, the size and maturity of the addressable market, growth opportunities, and competitive positioning.</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our Tripadvisor Core segment, we offer a compelling value proposition to both travelers and partners across a number of key offerings that include accommodations, experiences, dining, and media. This value proposition is delivered through a collection of durable assets that we believe is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that helps travelers make the best decisions in each phase of their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and diversify the monetization of our audience through deeper engagement, which, in turn, we expect will drive more value to our partners. As an example, in June 2023, we introduced a beta version of our core trip planning tool, including a new AI-powered travel itinerary generator. This new feature creates personalized travel itineraries utilizing generative AI technology.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Tripadvisor Core segment plays an important role in our portfolio. For over two decades, we believe we have built difficult to replicate assets such as a trusted brand, authentic content, a large community of contributors, and one of the largest global travel audiences available. Our long-term strategy for the Tripadvisor Core segment builds on our heritage and the reasons hundreds of millions of travelers come to Tripadvisor each year. Fundamental to this strategy will be: (1) innovating world-class travel guidance and planning products to help travelers make confident decisions in a world where it is hard to find advice you can trust; (2) prioritizing deeper engagement with travelers by leveraging our rich data and technology assets to provide more relevant, curated, and contextual content throughout the traveler journey; and (3) driving a step change in the value we can deliver to our partners by accelerating and diversifying the monetization of our valuable audience across key categories, including hotel meta, media advertising, and experiences.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our Viator and TheFork segments, we provide two-sided marketplaces that connect travelers and diners to operators of bookable experiences and restaurants, respectively. Within our Viator segment, we are investing in growth, future scale, and market share gains to accelerate our market leadership position, while improving booking unit economics that provide visibility to sustainable future profitability. This means driving awareness and higher quality audience engagement, which we believe will drive greater repeat behavior, more direct traffic, and translate into improved unit economics over time. Our investments on both sides of our marketplace, as well as in our core offerings, are intended to deliver a differentiated value proposition that will drive sustainable market leadership as our partners, operators, and travelers find themselves in an increasingly competitive marketplace environment. Similarly, in TheFork segment, we are experiencing growth as we drive margin improvement through leveraging recent investment in technology and talent. We are focused on continuing to grow both our restaurant base and our diner base by offering innovative tools and features on our platform, and through continued awareness of our brand.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expect to drive growth across the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Trends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online travel industry in which we operate is large, highly dynamic and competitive. We describe below current trends affecting our overall business and reportable segments, including uncertainties that may impact our ability to execute on our objectives and strategies. Public health-related events, such as a pandemic,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first quarter of 2022, we experienced a significant negative impact from the Omicron variant across all segments which helped contribute to the year-over-year revenue growth rate during 2023. Asia-Pacific, which represents a small portion of our overall business, has been slower to recover due to longer and sustained travel restrictions as a result of the COVID-19 pandemic. However, starting in the first quarter of 2023, travel restrictions across Asia began to ease relative to 2022, contributing to increased year-over-year revenue growth within this region.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Prior to Google introducing changes to its SERP (search engine results page), we generated a significant amount of direct traffic from search engines, such as Google, through strong SEO (search engine optimization) performance across all segments. We believe our SEO traffic acquisition performance has been negatively impacted in the past, and may be impacted in the future, by search engines (primarily Google) increasing the prominence of their own products in search results across our business, most notably within our hotel meta offering within our Tripadvisor Core segment.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response to strong consumer demand for our experiences offerings across our Viator and Tripadvisor Core segments, we continued to increase investment in performance marketing and brand spend year-to-date during 2023 to drive awareness and grow market share in this large underpenetrated market. Over the long-term, we are focused on driving a greater percentage of our traffic from direct sources and channels which are more profitable than performance marketing channels.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global experiences market is large, growing, and highly fragmented, with the vast majority of bookings still occurring through traditional offline sources. We are observing a secular shift, however, as this market continues to grow and accelerate the pace of online adoption. Likewise, the global restaurants category is also benefiting from increased online adoption by both consumers and partners, particularly in Europe. Given the competitive positioning of our businesses relative to the attractive growth prospects in these categories, we expect to continue to invest in these categories across the Tripadvisor group, and in particular, within the Viator and TheFork segments, to continue accelerating revenue growth, operating scale, and market share gains for the long-term.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Restructuring and Related Reorganization 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During the third quarter of 2023, the Company approved and subsequently initiated a set of actions across its businesses in order to reduce its cost structure, improve operational efficiencies, and realign its workforce with its strategic initiatives. These restructuring and reorganization actions resulted in reduced global headcount. As a result, the Company incurred estimated pre-tax restructuring and other related reorganization costs of $18 million during the three months ended September 30, 2023, which consisted primarily of employee severance and related benefits. Potential job position eliminations in each country are subject to local law and consultation requirements, which will extend beyond the fourth quarter of 2023 in certain countries. Therefore, actual costs incurred may differ from estimated costs recorded as of September 30, 2023. We expect that the majority of these costs will be paid during the fourth quarter of 2023 and the first quarter of 2024. Refer to “Note 5: </w:t>
      </w:r>
      <w:r>
        <w:rPr>
          <w:rFonts w:ascii="Times New Roman" w:hAnsi="Times New Roman"/>
          <w:b w:val="false"/>
          <w:i/>
          <w:color w:val="000000"/>
          <w:sz w:val="20"/>
        </w:rPr>
        <w:t>Accrued Expenses and Other Current Liabilities</w:t>
      </w:r>
      <w:r>
        <w:rPr>
          <w:rFonts w:ascii="Times New Roman" w:hAnsi="Times New Roman"/>
          <w:color w:val="000000"/>
          <w:sz w:val="20"/>
        </w:rPr>
        <w:t xml:space="preserve">” </w:t>
      </w:r>
      <w:r>
        <w:rPr>
          <w:rFonts w:ascii="Times New Roman" w:hAnsi="Times New Roman"/>
          <w:b w:val="false"/>
          <w:color w:val="000000"/>
          <w:sz w:val="20"/>
        </w:rPr>
        <w:t xml:space="preserve">and “Note 13: </w:t>
      </w:r>
      <w:r>
        <w:rPr>
          <w:rFonts w:ascii="Times New Roman" w:hAnsi="Times New Roman"/>
          <w:b w:val="false"/>
          <w:i/>
          <w:color w:val="000000"/>
          <w:sz w:val="20"/>
        </w:rPr>
        <w:t>Segment Information</w:t>
      </w:r>
      <w:r>
        <w:rPr>
          <w:rFonts w:ascii="Times New Roman" w:hAnsi="Times New Roman"/>
          <w:color w:val="000000"/>
          <w:sz w:val="20"/>
        </w:rPr>
        <w:t xml:space="preserve">” </w:t>
      </w:r>
      <w:r>
        <w:rPr>
          <w:rFonts w:ascii="Times New Roman" w:hAnsi="Times New Roman"/>
          <w:b w:val="false"/>
          <w:color w:val="000000"/>
          <w:sz w:val="20"/>
        </w:rPr>
        <w:t>in the notes to our unaudited condensed consolidated financial statements in Item 1 in this Quarterly Report for more information regarding restructuring and other related reorganization costs incurred by each reportable segment.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Company expects to recognize, largely during the fourth quarter of 2023, additional pre-tax restructuring and other related reorganization costs of an estimated $3 million to $4 million, as a result of cost reduction actions taken during the third quarter of 2023. In addition, cost reduction measures may include, but not be limited to, discretionary spend and real estate.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At this time, we expect an estimated $35 million in annualized cost savings in the Tripadvisor Core segment, including corporate general and administrative, as well as, an estimated $10 million in annualized cost savings in TheFork segment, primarily related to these targeted global workforce reduction measures. However, these cost reduction measures did not materially impact our segment expenses, and therefore our consolidated expenses, during the third quarter of 2023, due to the timing of these actions.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Stock Buyback Program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September 7, 2023, our Board of Directors authorized the repurchase of $250 million in shares of our common stock under a new share repurchase program. This share repurchase program, which has a term of two years, does not obligate the Company to acquire any particular number of shares and may be modified, suspended or discontinued at any time. During the three months ended September 30, 2023, the Company has not repurchased any shares of outstanding common stock under this share repurchase program.</w:t>
      </w:r>
    </w:p>
    <w:p>
      <w:pPr>
        <w:pStyle w:val="TextBody"/>
        <w:bidi w:val="0"/>
        <w:spacing w:before="360" w:after="283"/>
        <w:jc w:val="left"/>
        <w:rPr>
          <w:rFonts w:ascii="Times New Roman" w:hAnsi="Times New Roman"/>
          <w:sz w:val="20"/>
        </w:rPr>
      </w:pPr>
      <w:r>
        <w:rPr>
          <w:rFonts w:ascii="Times New Roman" w:hAnsi="Times New Roman"/>
          <w:b/>
          <w:color w:val="000000"/>
          <w:sz w:val="20"/>
        </w:rPr>
        <w:t>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the Company had nearly 3,000 employees, which includes employees that are currently the subject of local law and country-specific consultation processes, a decrease of approximately 4% when compared to the second quarter of 2023. This decrease is primarily related to the Company enacted workforce reductions measures, as discussed above, and will decline further in the fourth quarter of 2023, as impacted employees leave the Company. Approximately 59%, 33%, and 8%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w:t>
      </w:r>
      <w:r>
        <w:rPr>
          <w:rFonts w:ascii="Times New Roman" w:hAnsi="Times New Roman"/>
          <w:color w:val="231F20"/>
          <w:sz w:val="20"/>
        </w:rPr>
        <w:t xml:space="preserve"> </w:t>
      </w:r>
      <w:r>
        <w:rPr>
          <w:rFonts w:ascii="Times New Roman" w:hAnsi="Times New Roman"/>
          <w:b w:val="false"/>
          <w:color w:val="231F20"/>
          <w:sz w:val="20"/>
        </w:rPr>
        <w:t>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Times New Roman" w:hAnsi="Times New Roman"/>
          <w:b w:val="false"/>
          <w:color w:val="000000"/>
          <w:sz w:val="20"/>
        </w:rPr>
        <w:t xml:space="preserve">. </w:t>
      </w:r>
      <w:r>
        <w:rPr>
          <w:rFonts w:ascii="Times New Roman" w:hAnsi="Times New Roman"/>
          <w:b w:val="false"/>
          <w:color w:val="231F20"/>
          <w:sz w:val="20"/>
        </w:rPr>
        <w:t>Other factors may also impact typical seasonal fluctuations, such as further significant shifts in our business mix, adverse economic conditions, health-related events, as well as other factors</w:t>
      </w:r>
      <w:r>
        <w:rPr>
          <w:rFonts w:ascii="Times New Roman" w:hAnsi="Times New Roman"/>
          <w:b w:val="false"/>
          <w:color w:val="00000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makes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There are certain critical estimates that we believe require significant judgment in the preparation of our consolidated financial statements. We consider an accounting estimate to be critical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It requires us to make an assumption because information was not available at the time or it included matters that were highly uncertain at the time we were making the estimate; and/or</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Changes in the estimate or different estimates that we could have selected may have had a material impact on our financial condition or results of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have been no material changes to our critical accounting policies and estimates as compared to the critical accounting policies and estimates described in our Annual Report on Form 10-K for the fiscal year ended December 31, 2022.</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color w:val="000000"/>
          <w:sz w:val="20"/>
        </w:rPr>
        <w:t>Significant Accounting Policies and New Accounting Pronouncements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 xml:space="preserve">There have been no material changes to our significant accounting policies since December 31, 2022, as compared to those described under “Note 2: </w:t>
      </w:r>
      <w:r>
        <w:rPr>
          <w:rFonts w:ascii="Times New Roman" w:hAnsi="Times New Roman"/>
          <w:b w:val="false"/>
          <w:i/>
          <w:color w:val="000000"/>
          <w:sz w:val="20"/>
        </w:rPr>
        <w:t>Significant Accounting Policies</w:t>
      </w:r>
      <w:r>
        <w:rPr>
          <w:rFonts w:ascii="Times New Roman" w:hAnsi="Times New Roman"/>
          <w:color w:val="000000"/>
          <w:sz w:val="20"/>
        </w:rPr>
        <w:t>”</w:t>
      </w:r>
      <w:r>
        <w:rPr>
          <w:rFonts w:ascii="Times New Roman" w:hAnsi="Times New Roman"/>
          <w:b w:val="false"/>
          <w:color w:val="000000"/>
          <w:sz w:val="20"/>
        </w:rPr>
        <w:t>, in the notes to consolidated financial statements in Item 8 of our Annual Report on Form 10-K for the year ended December 31, 2022.</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Selected Financial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percentages)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84"/>
        <w:gridCol w:w="346"/>
        <w:gridCol w:w="255"/>
        <w:gridCol w:w="509"/>
        <w:gridCol w:w="200"/>
        <w:gridCol w:w="176"/>
        <w:gridCol w:w="255"/>
        <w:gridCol w:w="509"/>
        <w:gridCol w:w="166"/>
        <w:gridCol w:w="146"/>
        <w:gridCol w:w="242"/>
        <w:gridCol w:w="702"/>
        <w:gridCol w:w="289"/>
        <w:gridCol w:w="146"/>
        <w:gridCol w:w="234"/>
        <w:gridCol w:w="634"/>
        <w:gridCol w:w="184"/>
        <w:gridCol w:w="162"/>
        <w:gridCol w:w="234"/>
        <w:gridCol w:w="634"/>
        <w:gridCol w:w="166"/>
        <w:gridCol w:w="146"/>
        <w:gridCol w:w="242"/>
        <w:gridCol w:w="702"/>
        <w:gridCol w:w="542"/>
      </w:tblGrid>
      <w:tr>
        <w:trPr/>
        <w:tc>
          <w:tcPr>
            <w:tcW w:w="23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8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3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5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8"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8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r>
      <w:tr>
        <w:trPr/>
        <w:tc>
          <w:tcPr>
            <w:tcW w:w="23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Costs and expenses:</w:t>
            </w:r>
          </w:p>
        </w:tc>
        <w:tc>
          <w:tcPr>
            <w:tcW w:w="346" w:type="dxa"/>
            <w:tcBorders/>
            <w:shd w:fill="CFF0FC" w:val="clear"/>
            <w:vAlign w:val="center"/>
          </w:tcPr>
          <w:p>
            <w:pPr>
              <w:pStyle w:val="TableContents"/>
              <w:bidi w:val="0"/>
              <w:spacing w:before="0" w:after="283"/>
              <w:jc w:val="lef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lef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68"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86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ind w:left="0" w:right="0" w:firstLine="200"/>
              <w:jc w:val="left"/>
              <w:rPr/>
            </w:pPr>
            <w:r>
              <w:rPr/>
              <w:t> </w:t>
            </w:r>
          </w:p>
        </w:tc>
      </w:tr>
      <w:tr>
        <w:trPr/>
        <w:tc>
          <w:tcPr>
            <w:tcW w:w="238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Cost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54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Selling and marketing</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54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Technology and content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4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54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54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Restructuring and other related organization costs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2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42" w:type="dxa"/>
            <w:tcBorders/>
            <w:shd w:fill="CFF0FC" w:val="clear"/>
            <w:vAlign w:val="center"/>
          </w:tcPr>
          <w:p>
            <w:pPr>
              <w:pStyle w:val="TableContents"/>
              <w:bidi w:val="0"/>
              <w:spacing w:before="0" w:after="283"/>
              <w:jc w:val="right"/>
              <w:rPr/>
            </w:pPr>
            <w:r>
              <w:rPr/>
              <w:t> </w:t>
            </w:r>
          </w:p>
        </w:tc>
      </w:tr>
      <w:tr>
        <w:trPr/>
        <w:tc>
          <w:tcPr>
            <w:tcW w:w="23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costs and expenses:</w:t>
            </w:r>
          </w:p>
        </w:tc>
        <w:tc>
          <w:tcPr>
            <w:tcW w:w="3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3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5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346"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8"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8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ind w:left="0" w:right="0" w:firstLine="200"/>
              <w:jc w:val="left"/>
              <w:rPr/>
            </w:pPr>
            <w:r>
              <w:rPr/>
              <w:t> </w:t>
            </w:r>
          </w:p>
        </w:tc>
      </w:tr>
      <w:tr>
        <w:trPr/>
        <w:tc>
          <w:tcPr>
            <w:tcW w:w="238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54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54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5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3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2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FFFFFF" w:val="cle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5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taxes</w:t>
            </w:r>
          </w:p>
        </w:tc>
        <w:tc>
          <w:tcPr>
            <w:tcW w:w="3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54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FFFFFF" w:val="cle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5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3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542" w:type="dxa"/>
            <w:tcBorders/>
            <w:shd w:fill="CFF0FC" w:val="clear"/>
            <w:vAlign w:val="center"/>
          </w:tcPr>
          <w:p>
            <w:pPr>
              <w:pStyle w:val="TableContents"/>
              <w:bidi w:val="0"/>
              <w:spacing w:before="0" w:after="283"/>
              <w:jc w:val="right"/>
              <w:rPr/>
            </w:pPr>
            <w:r>
              <w:rPr/>
              <w:t> </w:t>
            </w:r>
          </w:p>
        </w:tc>
      </w:tr>
      <w:tr>
        <w:trPr/>
        <w:tc>
          <w:tcPr>
            <w:tcW w:w="238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7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8"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8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r>
      <w:tr>
        <w:trPr/>
        <w:tc>
          <w:tcPr>
            <w:tcW w:w="23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Financial Data:</w:t>
            </w:r>
          </w:p>
        </w:tc>
        <w:tc>
          <w:tcPr>
            <w:tcW w:w="346" w:type="dxa"/>
            <w:tcBorders/>
            <w:shd w:fill="CFF0FC" w:val="clear"/>
            <w:vAlign w:val="center"/>
          </w:tcPr>
          <w:p>
            <w:pPr>
              <w:pStyle w:val="TableContents"/>
              <w:bidi w:val="0"/>
              <w:spacing w:before="0" w:after="283"/>
              <w:jc w:val="lef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7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68"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86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left"/>
              <w:rPr/>
            </w:pPr>
            <w:r>
              <w:rPr/>
              <w:t> </w:t>
            </w:r>
          </w:p>
        </w:tc>
        <w:tc>
          <w:tcPr>
            <w:tcW w:w="542" w:type="dxa"/>
            <w:tcBorders/>
            <w:shd w:fill="CFF0FC" w:val="clear"/>
            <w:vAlign w:val="center"/>
          </w:tcPr>
          <w:p>
            <w:pPr>
              <w:pStyle w:val="TableContents"/>
              <w:bidi w:val="0"/>
              <w:spacing w:before="0" w:after="283"/>
              <w:jc w:val="left"/>
              <w:rPr/>
            </w:pPr>
            <w:r>
              <w:rPr/>
              <w:t> </w:t>
            </w:r>
          </w:p>
        </w:tc>
      </w:tr>
      <w:tr>
        <w:trPr/>
        <w:tc>
          <w:tcPr>
            <w:tcW w:w="23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 (1)</w:t>
            </w:r>
          </w:p>
        </w:tc>
        <w:tc>
          <w:tcPr>
            <w:tcW w:w="3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60" w:after="283"/>
        <w:jc w:val="left"/>
        <w:rPr>
          <w:rFonts w:ascii="Times New Roman" w:hAnsi="Times New Roman"/>
          <w:sz w:val="20"/>
        </w:rPr>
      </w:pPr>
      <w:r>
        <w:rPr>
          <w:rFonts w:ascii="Times New Roman" w:hAnsi="Times New Roman"/>
          <w:b w:val="false"/>
          <w:color w:val="000000"/>
          <w:sz w:val="16"/>
        </w:rPr>
        <w:t xml:space="preserve">n.m. = </w:t>
      </w:r>
      <w:r>
        <w:rPr>
          <w:rFonts w:ascii="Times New Roman" w:hAnsi="Times New Roman"/>
          <w:b w:val="false"/>
          <w:i/>
          <w:color w:val="000000"/>
          <w:sz w:val="16"/>
        </w:rPr>
        <w:t>not meaningful</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 xml:space="preserve">Consolidated Adjusted EBITDA is considered a non-GAAP measure as defined by the SEC. Please refer to “Adjusted EBITDA” below for more information, including tabular reconciliations to the most directly comparable GAAP financial measure.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Revenue and Segment Information</w:t>
      </w:r>
    </w:p>
    <w:tbl>
      <w:tblPr>
        <w:tblW w:w="10205" w:type="dxa"/>
        <w:jc w:val="left"/>
        <w:tblInd w:w="0" w:type="dxa"/>
        <w:tblLayout w:type="fixed"/>
        <w:tblCellMar>
          <w:top w:w="28" w:type="dxa"/>
          <w:left w:w="28" w:type="dxa"/>
          <w:bottom w:w="28" w:type="dxa"/>
          <w:right w:w="28" w:type="dxa"/>
        </w:tblCellMar>
      </w:tblPr>
      <w:tblGrid>
        <w:gridCol w:w="2058"/>
        <w:gridCol w:w="146"/>
        <w:gridCol w:w="251"/>
        <w:gridCol w:w="501"/>
        <w:gridCol w:w="356"/>
        <w:gridCol w:w="173"/>
        <w:gridCol w:w="251"/>
        <w:gridCol w:w="501"/>
        <w:gridCol w:w="293"/>
        <w:gridCol w:w="146"/>
        <w:gridCol w:w="267"/>
        <w:gridCol w:w="691"/>
        <w:gridCol w:w="293"/>
        <w:gridCol w:w="146"/>
        <w:gridCol w:w="230"/>
        <w:gridCol w:w="623"/>
        <w:gridCol w:w="323"/>
        <w:gridCol w:w="159"/>
        <w:gridCol w:w="230"/>
        <w:gridCol w:w="623"/>
        <w:gridCol w:w="293"/>
        <w:gridCol w:w="146"/>
        <w:gridCol w:w="267"/>
        <w:gridCol w:w="691"/>
        <w:gridCol w:w="547"/>
      </w:tblGrid>
      <w:tr>
        <w:trPr/>
        <w:tc>
          <w:tcPr>
            <w:tcW w:w="2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0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by Segment:</w:t>
            </w:r>
          </w:p>
        </w:tc>
        <w:tc>
          <w:tcPr>
            <w:tcW w:w="146" w:type="dxa"/>
            <w:tcBorders/>
            <w:shd w:fill="FFFFFF" w:val="clear"/>
            <w:vAlign w:val="center"/>
          </w:tcPr>
          <w:p>
            <w:pPr>
              <w:pStyle w:val="TableContents"/>
              <w:bidi w:val="0"/>
              <w:spacing w:before="0" w:after="283"/>
              <w:jc w:val="left"/>
              <w:rPr/>
            </w:pPr>
            <w:r>
              <w:rPr/>
              <w:t> </w:t>
            </w:r>
          </w:p>
        </w:tc>
        <w:tc>
          <w:tcPr>
            <w:tcW w:w="203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left"/>
              <w:rPr/>
            </w:pPr>
            <w:r>
              <w:rPr/>
              <w:t> </w:t>
            </w:r>
          </w:p>
        </w:tc>
      </w:tr>
      <w:tr>
        <w:trPr/>
        <w:tc>
          <w:tcPr>
            <w:tcW w:w="20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Tripadvisor Core </w:t>
            </w: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w:t>
            </w:r>
          </w:p>
        </w:tc>
        <w:tc>
          <w:tcPr>
            <w:tcW w:w="35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2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w:t>
            </w:r>
          </w:p>
        </w:tc>
        <w:tc>
          <w:tcPr>
            <w:tcW w:w="32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w:t>
            </w:r>
          </w:p>
        </w:tc>
        <w:tc>
          <w:tcPr>
            <w:tcW w:w="2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5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Viator</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w:t>
            </w:r>
          </w:p>
        </w:tc>
        <w:tc>
          <w:tcPr>
            <w:tcW w:w="35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2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w:t>
            </w:r>
          </w:p>
        </w:tc>
        <w:tc>
          <w:tcPr>
            <w:tcW w:w="32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w:t>
            </w:r>
          </w:p>
        </w:tc>
        <w:tc>
          <w:tcPr>
            <w:tcW w:w="2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5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TheFork</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35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32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2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5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Intersegment eliminations </w:t>
            </w: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54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5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 by Segment:</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547" w:type="dxa"/>
            <w:tcBorders/>
            <w:shd w:fill="FFFFFF" w:val="clear"/>
            <w:vAlign w:val="center"/>
          </w:tcPr>
          <w:p>
            <w:pPr>
              <w:pStyle w:val="TableContents"/>
              <w:bidi w:val="0"/>
              <w:spacing w:before="0" w:after="283"/>
              <w:jc w:val="right"/>
              <w:rPr/>
            </w:pPr>
            <w:r>
              <w:rPr/>
              <w:t> </w:t>
            </w:r>
          </w:p>
        </w:tc>
      </w:tr>
      <w:tr>
        <w:trPr/>
        <w:tc>
          <w:tcPr>
            <w:tcW w:w="20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Tripadvisor Core</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35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2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w:t>
            </w:r>
          </w:p>
        </w:tc>
        <w:tc>
          <w:tcPr>
            <w:tcW w:w="32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2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5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Viator</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5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5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TheFork</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54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Adjusted EBITDA</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Adjusted EBITDA Margin by Segment </w:t>
            </w:r>
            <w:r>
              <w:rPr>
                <w:rFonts w:ascii="Times New Roman" w:hAnsi="Times New Roman"/>
                <w:b w:val="false"/>
                <w:color w:val="000000"/>
                <w:sz w:val="16"/>
              </w:rPr>
              <w:t>(2)</w:t>
            </w: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left"/>
              <w:rPr/>
            </w:pPr>
            <w:r>
              <w:rPr/>
              <w:t> </w:t>
            </w:r>
          </w:p>
        </w:tc>
      </w:tr>
      <w:tr>
        <w:trPr/>
        <w:tc>
          <w:tcPr>
            <w:tcW w:w="20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Tripadvisor Core</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547" w:type="dxa"/>
            <w:tcBorders/>
            <w:shd w:fill="FFFFFF" w:val="clear"/>
            <w:vAlign w:val="center"/>
          </w:tcPr>
          <w:p>
            <w:pPr>
              <w:pStyle w:val="TableContents"/>
              <w:bidi w:val="0"/>
              <w:spacing w:before="0" w:after="283"/>
              <w:jc w:val="right"/>
              <w:rPr/>
            </w:pPr>
            <w:r>
              <w:rPr/>
              <w:t> </w:t>
            </w:r>
          </w:p>
        </w:tc>
      </w:tr>
      <w:tr>
        <w:trPr/>
        <w:tc>
          <w:tcPr>
            <w:tcW w:w="20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Viator</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right"/>
              <w:rPr/>
            </w:pPr>
            <w:r>
              <w:rPr/>
              <w:t> </w:t>
            </w:r>
          </w:p>
        </w:tc>
        <w:tc>
          <w:tcPr>
            <w:tcW w:w="547" w:type="dxa"/>
            <w:tcBorders/>
            <w:shd w:fill="CFF0FC" w:val="clear"/>
            <w:vAlign w:val="center"/>
          </w:tcPr>
          <w:p>
            <w:pPr>
              <w:pStyle w:val="TableContents"/>
              <w:bidi w:val="0"/>
              <w:spacing w:before="0" w:after="283"/>
              <w:jc w:val="right"/>
              <w:rPr/>
            </w:pPr>
            <w:r>
              <w:rPr/>
              <w:t> </w:t>
            </w:r>
          </w:p>
        </w:tc>
      </w:tr>
      <w:tr>
        <w:trPr/>
        <w:tc>
          <w:tcPr>
            <w:tcW w:w="20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TheFork</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547" w:type="dxa"/>
            <w:tcBorders/>
            <w:shd w:fill="FFFFFF" w:val="clear"/>
            <w:vAlign w:val="center"/>
          </w:tcPr>
          <w:p>
            <w:pPr>
              <w:pStyle w:val="TableContents"/>
              <w:bidi w:val="0"/>
              <w:spacing w:before="0" w:after="283"/>
              <w:jc w:val="right"/>
              <w:rPr/>
            </w:pPr>
            <w:r>
              <w:rPr/>
              <w:t> </w:t>
            </w:r>
          </w:p>
        </w:tc>
      </w:tr>
    </w:tbl>
    <w:p>
      <w:pPr>
        <w:pStyle w:val="TextBody"/>
        <w:bidi w:val="0"/>
        <w:spacing w:before="60" w:after="283"/>
        <w:jc w:val="left"/>
        <w:rPr/>
      </w:pPr>
      <w:r>
        <w:rPr/>
        <w:t>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left"/>
        <w:rPr/>
      </w:pPr>
      <w:r>
        <w:rPr>
          <w:rFonts w:ascii="Times New Roman" w:hAnsi="Times New Roman"/>
          <w:b w:val="false"/>
          <w:color w:val="000000"/>
          <w:sz w:val="16"/>
        </w:rPr>
        <w:t xml:space="preserve">Tripadvisor Core segment revenue figures are shown gross of intersegment (intercompany) revenue, which is eliminated on a consolidated basis. Refer to “Note 13: </w:t>
      </w:r>
      <w:r>
        <w:rPr>
          <w:rFonts w:ascii="Times New Roman" w:hAnsi="Times New Roman"/>
          <w:b w:val="false"/>
          <w:i/>
          <w:color w:val="000000"/>
          <w:sz w:val="16"/>
        </w:rPr>
        <w:t>Segment Information</w:t>
      </w:r>
      <w:r>
        <w:rPr>
          <w:color w:val="000000"/>
        </w:rPr>
        <w:t xml:space="preserve">” </w:t>
      </w:r>
      <w:r>
        <w:rPr>
          <w:rFonts w:ascii="Times New Roman" w:hAnsi="Times New Roman"/>
          <w:b w:val="false"/>
          <w:color w:val="000000"/>
          <w:sz w:val="16"/>
        </w:rPr>
        <w:t xml:space="preserve">in the notes to our unaudited condensed consolidated financial statements in Item 1 in this Quarterly Report for a discussion of intersegment revenue for all periods presented. </w:t>
      </w:r>
    </w:p>
    <w:p>
      <w:pPr>
        <w:pStyle w:val="TextBody"/>
        <w:bidi w:val="0"/>
        <w:spacing w:before="0" w:after="0"/>
        <w:jc w:val="left"/>
        <w:rPr>
          <w:rFonts w:ascii="Times New Roman" w:hAnsi="Times New Roman"/>
          <w:b w:val="false"/>
          <w:color w:val="000000"/>
          <w:sz w:val="16"/>
        </w:rPr>
      </w:pPr>
      <w:r>
        <w:rPr>
          <w:rFonts w:ascii="Times New Roman" w:hAnsi="Times New Roman"/>
          <w:b w:val="false"/>
          <w:color w:val="000000"/>
          <w:sz w:val="16"/>
        </w:rPr>
        <w:t>(2)</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 xml:space="preserve">"Adjusted EBITDA Margin by Segment" is defined as Adjusted EBITDA by segment divided by revenue by segment.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Tripadvisor Core Segment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Tripadvisor Core segment revenue increased by $6 million during the three months ended September 30, 2023, when compared to the same period in 2022, primarily due to an increase in Tripadvisor experiences revenue, and to a lesser extent, an increase in Tripadvisor-branded display and platform and hotel B2B revenue, which was largely offset by a decrease in our hotel meta revenue.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Adjusted EBITDA in our Tripadvisor Core segment decreased by $1 million during the three months ended September 30, 2023, when compared to the same period in 2022, while adjusted EBITDA margin decreased by 1 percentage point during the three months ended September 30, 2023, when compared to the same period in 2022. The increase in our Tripadvisor Core segment revenue of $6 million, as noted above, was more than offset by increases in direct revenue generation costs related to data center and other direct revenue related costs, as well as personnel and overhead costs to support business growth, while paid online traffic acquisition costs decreased slightly, as we maintained consistent ROAS (return on advertising spend) targets.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Tripadvisor Core segment revenue increased by $64 million during the nine months ended September 30, 2023, when compared to the same period in 2022, primarily due to an increase in Tripadvisor experiences revenue, and to a lesser extent, an increase in hotel B2B revenue, Tripadvisor-branded display and platform revenue, and improved hotel meta revenue in the rest of world geographic markets, all of which were primarily driven by strong consumer demand, in addition to the negative impact on this segment’s revenue from the Omicron variant in the first quarter of 2022, which was partially offset primarily by a decrease in our European hotel meta revenue during the second and third quarters of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Adjusted EBITDA in our Tripadvisor Core segment decreased by $5 million during the nine months ended September 30, 2023, when compared to the same period in 2022, while adjusted EBITDA margin decreased by 4 percentage points during the nine months ended September 30, 2023, when compared to the same period in 2022. The increase in our Tripadvisor Core segment revenue of $64 million, as noted above, is more than offset by increases in personnel and overhead costs to support business growth, direct selling and marketing expenses related to paid online traffic acquisition costs, direct revenue generation costs related to data center and other direct revenue related costs, and software licensing costs.</w:t>
      </w:r>
      <w:r>
        <w:rPr>
          <w:rFonts w:ascii="Times New Roman" w:hAnsi="Times New Roman"/>
          <w:color w:val="000000"/>
          <w:sz w:val="20"/>
        </w:rPr>
        <w:t xml:space="preserve"> </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following is a detailed discussion of the revenue sources within our Tripadvisor Core segment:</w:t>
      </w:r>
    </w:p>
    <w:tbl>
      <w:tblPr>
        <w:tblW w:w="10205" w:type="dxa"/>
        <w:jc w:val="left"/>
        <w:tblInd w:w="0" w:type="dxa"/>
        <w:tblLayout w:type="fixed"/>
        <w:tblCellMar>
          <w:top w:w="28" w:type="dxa"/>
          <w:left w:w="28" w:type="dxa"/>
          <w:bottom w:w="28" w:type="dxa"/>
          <w:right w:w="28" w:type="dxa"/>
        </w:tblCellMar>
      </w:tblPr>
      <w:tblGrid>
        <w:gridCol w:w="2523"/>
        <w:gridCol w:w="346"/>
        <w:gridCol w:w="265"/>
        <w:gridCol w:w="529"/>
        <w:gridCol w:w="183"/>
        <w:gridCol w:w="183"/>
        <w:gridCol w:w="265"/>
        <w:gridCol w:w="529"/>
        <w:gridCol w:w="146"/>
        <w:gridCol w:w="146"/>
        <w:gridCol w:w="267"/>
        <w:gridCol w:w="691"/>
        <w:gridCol w:w="293"/>
        <w:gridCol w:w="146"/>
        <w:gridCol w:w="260"/>
        <w:gridCol w:w="520"/>
        <w:gridCol w:w="180"/>
        <w:gridCol w:w="180"/>
        <w:gridCol w:w="260"/>
        <w:gridCol w:w="520"/>
        <w:gridCol w:w="146"/>
        <w:gridCol w:w="146"/>
        <w:gridCol w:w="302"/>
        <w:gridCol w:w="656"/>
        <w:gridCol w:w="523"/>
      </w:tblGrid>
      <w:tr>
        <w:trPr/>
        <w:tc>
          <w:tcPr>
            <w:tcW w:w="25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52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3" w:type="dxa"/>
            <w:tcBorders/>
            <w:shd w:fill="FFFFFF" w:val="clear"/>
            <w:vAlign w:val="center"/>
          </w:tcPr>
          <w:p>
            <w:pPr>
              <w:pStyle w:val="TableContents"/>
              <w:bidi w:val="0"/>
              <w:spacing w:before="0" w:after="283"/>
              <w:jc w:val="center"/>
              <w:rPr/>
            </w:pPr>
            <w:r>
              <w:rPr/>
              <w:t> </w:t>
            </w:r>
          </w:p>
        </w:tc>
      </w:tr>
      <w:tr>
        <w:trPr/>
        <w:tc>
          <w:tcPr>
            <w:tcW w:w="252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5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shd w:fill="FFFFFF" w:val="cle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shd w:fill="FFFFFF" w:val="clear"/>
            <w:vAlign w:val="center"/>
          </w:tcPr>
          <w:p>
            <w:pPr>
              <w:pStyle w:val="TableContents"/>
              <w:bidi w:val="0"/>
              <w:spacing w:before="0" w:after="283"/>
              <w:jc w:val="center"/>
              <w:rPr/>
            </w:pPr>
            <w:r>
              <w:rPr/>
              <w:t> </w:t>
            </w:r>
          </w:p>
        </w:tc>
        <w:tc>
          <w:tcPr>
            <w:tcW w:w="523" w:type="dxa"/>
            <w:tcBorders/>
            <w:shd w:fill="FFFFFF" w:val="clear"/>
            <w:vAlign w:val="center"/>
          </w:tcPr>
          <w:p>
            <w:pPr>
              <w:pStyle w:val="TableContents"/>
              <w:bidi w:val="0"/>
              <w:spacing w:before="0" w:after="283"/>
              <w:jc w:val="center"/>
              <w:rPr/>
            </w:pPr>
            <w:r>
              <w:rPr/>
              <w:t> </w:t>
            </w:r>
          </w:p>
        </w:tc>
      </w:tr>
      <w:tr>
        <w:trPr/>
        <w:tc>
          <w:tcPr>
            <w:tcW w:w="252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Tripadvisor Core:</w:t>
            </w:r>
          </w:p>
        </w:tc>
        <w:tc>
          <w:tcPr>
            <w:tcW w:w="346" w:type="dxa"/>
            <w:tcBorders/>
            <w:shd w:fill="CFF0FC" w:val="clear"/>
            <w:vAlign w:val="center"/>
          </w:tcPr>
          <w:p>
            <w:pPr>
              <w:pStyle w:val="TableContents"/>
              <w:bidi w:val="0"/>
              <w:spacing w:before="0" w:after="283"/>
              <w:jc w:val="left"/>
              <w:rPr/>
            </w:pPr>
            <w:r>
              <w:rPr/>
              <w:t> </w:t>
            </w:r>
          </w:p>
        </w:tc>
        <w:tc>
          <w:tcPr>
            <w:tcW w:w="794" w:type="dxa"/>
            <w:gridSpan w:val="2"/>
            <w:tcBorders/>
            <w:shd w:fill="CFF0FC" w:val="clear"/>
            <w:vAlign w:val="center"/>
          </w:tcPr>
          <w:p>
            <w:pPr>
              <w:pStyle w:val="TableContents"/>
              <w:bidi w:val="0"/>
              <w:spacing w:before="0" w:after="283"/>
              <w:jc w:val="center"/>
              <w:rPr/>
            </w:pPr>
            <w:r>
              <w:rPr/>
              <w:t> </w:t>
            </w:r>
          </w:p>
        </w:tc>
        <w:tc>
          <w:tcPr>
            <w:tcW w:w="183" w:type="dxa"/>
            <w:tcBorders/>
            <w:shd w:fill="CFF0FC" w:val="clear"/>
            <w:vAlign w:val="center"/>
          </w:tcPr>
          <w:p>
            <w:pPr>
              <w:pStyle w:val="TableContents"/>
              <w:bidi w:val="0"/>
              <w:spacing w:before="0" w:after="283"/>
              <w:jc w:val="center"/>
              <w:rPr/>
            </w:pPr>
            <w:r>
              <w:rPr/>
              <w:t> </w:t>
            </w:r>
          </w:p>
        </w:tc>
        <w:tc>
          <w:tcPr>
            <w:tcW w:w="183" w:type="dxa"/>
            <w:tcBorders/>
            <w:shd w:fill="CFF0FC" w:val="clear"/>
            <w:vAlign w:val="center"/>
          </w:tcPr>
          <w:p>
            <w:pPr>
              <w:pStyle w:val="TableContents"/>
              <w:bidi w:val="0"/>
              <w:spacing w:before="0" w:after="283"/>
              <w:jc w:val="center"/>
              <w:rPr/>
            </w:pPr>
            <w:r>
              <w:rPr/>
              <w:t> </w:t>
            </w:r>
          </w:p>
        </w:tc>
        <w:tc>
          <w:tcPr>
            <w:tcW w:w="7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58" w:type="dxa"/>
            <w:gridSpan w:val="2"/>
            <w:tcBorders/>
            <w:shd w:fill="CFF0FC" w:val="clear"/>
            <w:vAlign w:val="center"/>
          </w:tcPr>
          <w:p>
            <w:pPr>
              <w:pStyle w:val="TableContents"/>
              <w:bidi w:val="0"/>
              <w:spacing w:before="0" w:after="283"/>
              <w:jc w:val="center"/>
              <w:rPr/>
            </w:pPr>
            <w:r>
              <w:rPr/>
              <w:t> </w:t>
            </w:r>
          </w:p>
        </w:tc>
        <w:tc>
          <w:tcPr>
            <w:tcW w:w="29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0" w:type="dxa"/>
            <w:gridSpan w:val="2"/>
            <w:tcBorders/>
            <w:shd w:fill="CFF0FC" w:val="clear"/>
            <w:vAlign w:val="center"/>
          </w:tcPr>
          <w:p>
            <w:pPr>
              <w:pStyle w:val="TableContents"/>
              <w:bidi w:val="0"/>
              <w:spacing w:before="0" w:after="283"/>
              <w:jc w:val="center"/>
              <w:rPr/>
            </w:pPr>
            <w:r>
              <w:rPr/>
              <w:t> </w:t>
            </w:r>
          </w:p>
        </w:tc>
        <w:tc>
          <w:tcPr>
            <w:tcW w:w="180" w:type="dxa"/>
            <w:tcBorders/>
            <w:shd w:fill="CFF0FC" w:val="clear"/>
            <w:vAlign w:val="center"/>
          </w:tcPr>
          <w:p>
            <w:pPr>
              <w:pStyle w:val="TableContents"/>
              <w:bidi w:val="0"/>
              <w:spacing w:before="0" w:after="283"/>
              <w:jc w:val="center"/>
              <w:rPr/>
            </w:pPr>
            <w:r>
              <w:rPr/>
              <w:t> </w:t>
            </w:r>
          </w:p>
        </w:tc>
        <w:tc>
          <w:tcPr>
            <w:tcW w:w="180" w:type="dxa"/>
            <w:tcBorders/>
            <w:shd w:fill="CFF0FC" w:val="clear"/>
            <w:vAlign w:val="center"/>
          </w:tcPr>
          <w:p>
            <w:pPr>
              <w:pStyle w:val="TableContents"/>
              <w:bidi w:val="0"/>
              <w:spacing w:before="0" w:after="283"/>
              <w:jc w:val="center"/>
              <w:rPr/>
            </w:pPr>
            <w:r>
              <w:rPr/>
              <w:t> </w:t>
            </w:r>
          </w:p>
        </w:tc>
        <w:tc>
          <w:tcPr>
            <w:tcW w:w="78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58" w:type="dxa"/>
            <w:gridSpan w:val="2"/>
            <w:tcBorders/>
            <w:shd w:fill="CFF0FC" w:val="clear"/>
            <w:vAlign w:val="center"/>
          </w:tcPr>
          <w:p>
            <w:pPr>
              <w:pStyle w:val="TableContents"/>
              <w:bidi w:val="0"/>
              <w:spacing w:before="0" w:after="283"/>
              <w:jc w:val="center"/>
              <w:rPr/>
            </w:pPr>
            <w:r>
              <w:rPr/>
              <w:t> </w:t>
            </w:r>
          </w:p>
        </w:tc>
        <w:tc>
          <w:tcPr>
            <w:tcW w:w="523" w:type="dxa"/>
            <w:tcBorders/>
            <w:shd w:fill="CFF0FC" w:val="clear"/>
            <w:vAlign w:val="center"/>
          </w:tcPr>
          <w:p>
            <w:pPr>
              <w:pStyle w:val="TableContents"/>
              <w:bidi w:val="0"/>
              <w:spacing w:before="0" w:after="283"/>
              <w:ind w:left="0" w:right="0" w:firstLine="100"/>
              <w:jc w:val="center"/>
              <w:rPr/>
            </w:pPr>
            <w:r>
              <w:rPr/>
              <w:t> </w:t>
            </w:r>
          </w:p>
        </w:tc>
      </w:tr>
      <w:tr>
        <w:trPr/>
        <w:tc>
          <w:tcPr>
            <w:tcW w:w="252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Tripadvisor-branded hotels</w:t>
            </w:r>
          </w:p>
        </w:tc>
        <w:tc>
          <w:tcPr>
            <w:tcW w:w="3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52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Tripadvisor-branded display and platform</w:t>
            </w:r>
          </w:p>
        </w:tc>
        <w:tc>
          <w:tcPr>
            <w:tcW w:w="3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52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23"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 xml:space="preserve">Tripadvisor experiences and dining </w:t>
            </w:r>
            <w:r>
              <w:rPr>
                <w:rFonts w:ascii="Times New Roman" w:hAnsi="Times New Roman"/>
                <w:b w:val="false"/>
                <w:color w:val="000000"/>
                <w:sz w:val="16"/>
              </w:rPr>
              <w:t>(1)</w:t>
            </w:r>
          </w:p>
        </w:tc>
        <w:tc>
          <w:tcPr>
            <w:tcW w:w="3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52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w:t>
            </w:r>
          </w:p>
        </w:tc>
        <w:tc>
          <w:tcPr>
            <w:tcW w:w="3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52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52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Tripadvisor Core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5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pPr>
      <w:r>
        <w:rPr>
          <w:rFonts w:ascii="Times New Roman" w:hAnsi="Times New Roman"/>
          <w:b w:val="false"/>
          <w:color w:val="000000"/>
          <w:sz w:val="16"/>
        </w:rPr>
        <w:t xml:space="preserve">Tripadvisor experiences and dining revenue within the Tripadvisor Core segment is shown gross of intersegment (intercompany) revenue, which is eliminated on a consolidated basis. Refer to “Note 13: </w:t>
      </w:r>
      <w:r>
        <w:rPr>
          <w:rFonts w:ascii="Times New Roman" w:hAnsi="Times New Roman"/>
          <w:b w:val="false"/>
          <w:i/>
          <w:color w:val="000000"/>
          <w:sz w:val="16"/>
        </w:rPr>
        <w:t>Segment Information</w:t>
      </w:r>
      <w:r>
        <w:rPr>
          <w:color w:val="000000"/>
        </w:rPr>
        <w:t xml:space="preserve">” </w:t>
      </w:r>
      <w:r>
        <w:rPr>
          <w:rFonts w:ascii="Times New Roman" w:hAnsi="Times New Roman"/>
          <w:b w:val="false"/>
          <w:color w:val="000000"/>
          <w:sz w:val="16"/>
        </w:rPr>
        <w:t xml:space="preserve">in the notes to our unaudited condensed consolidated financial statements in Item 1 in this Quarterly Report for a discussion of intersegment revenue for all periods presented.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Tripadvisor-branded Hotels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62% and 64%, respectively, and for the three and nine months ended September 30, 2022, 66% and 68%, respectively, of our total Tripadvisor Core segment revenue was derived from Tripadvisor-branded hotels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Tripadvisor-branded hotels revenue decreased by $7 million during the three months ended September 30, 2023 when compared to the same period in 2022, primarily driven by a decrease in our hotel meta revenue, related to an increased competitive environment in paid channels and product decisions we have implemented, leading to a decrease in click volumes. However, we believe product decisions we have implemented are delivering higher quality clicks which has contributed to stronger CPC rates during the third quarter of 2023. From a geographical perspective, our hotel meta revenue experienced declines in Europe, and to a lesser extent, in the U.S., which more than offset growth in the rest of the world. This decrease was partially offset by improved hotel B2B revenue when compared to the third quarter of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Tripadvisor-branded hotels revenue increased by $14 million during the nine months ended September 30, 2023 when compared to the same period in 2022, primarily driven by improved hotel B2B revenue, as well as to a lesser extent, improved hotel meta</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revenue in the rest of world geographic markets, primarily driven by strong consumer travel demand compared to the first three quarters of 2022, which was negatively impacted by the Omicron variant during the first quarter of 2022. In addition, the Company saw continued strength in hotel meta monetization in the U.S., where CPC rates remained robust when compared to 2022. These improvements were partially offset primarily by a decrease in our European hotel meta revenue during the second and third quarters of 2023, as described above, as well as, an increased competitive environment in paid channels and product decisions we have implemented, leading to a decrease in click volumes.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Tripadvisor-branded Display and Platform 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13% and 14%, respectively, and for the three and nine months ended September 30, 2022, 12% and 13%, respectively, of Tripadvisor Core segment revenue was derived from our Tripadvisor-branded display and platform revenue, which consists of revenue from Tripadvisor-branded display-based advertising (or “media advertising”) across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Tripadvisor-branded display and platform revenue increased by $5 million and $13 million during the three and nine months ended September 30, 2023, respectively, when compared to the same periods in 2022, primarily driven by an increase in marketing spend from advertisers, in correlation with growth in consumer travel demand.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Tripadvisor Experiences and Dining 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19% and 17%, respectively, and for the three and nine months ended September 30, 2022, 16% and 14%, respectively, of our Tripadvisor Core segment revenue was derived from our Tripadvisor experiences and dining revenue, which includes intercompany (intersegment) revenue consisting of affiliate marketing commissions earned primarily from experiences bookings and, to a lesser extent, restaurant reservation bookings on Tripadvisor-branded websites and mobile apps, fulfilled by Viator and TheFork, respectively, which are eliminated on a consolidated basis, in addition to revenue earned from Tripadvisor's restaurants service offerings.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Tripadvisor experiences and dining revenue increased by $10 million and $37 million during the three and nine months ended September 30, 2023, respectively, when compared to the same periods in 2022, primarily driven by strong consumer demand for experiences, combined with conversion rate improvements and enhancements to our websites and mobile apps.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Other 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both the three and nine months ended September 30, 2023 and 2022, 6% and 5%, respectively, of Tripadvisor Core segment revenue was derived from Other revenue, which includes rentals revenue, in addition to primarily click-based advertising and display-based advertising revenue from our cruises, flights, and cars offerings on Tripadvisor websites and mobile app.</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Viator Segment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Viator segment revenue increased by $71 million and $210 million during the three and nine months ended September 30, 2023, respectively, when compared to the same periods in 2022, primarily driven by strong consumer demand for experiences across all geographies, including growth in both volume and pricing of experiences. Viator is also benefiting from a larger macro trend, or secular shift, as the large global market in which it operates continues to grow and migrate online from traditional offline 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Adjusted EBITDA in our Viator segment increased by $5 million during the three months ended September 30, 2023, when compared to the same period in 2022, primarily due to an increase in revenue as noted above, largely offset by an increase in selling and marketing expenses related to SEM, other online paid traffic acquisition costs, and other marketing costs, including incremental brand spend, in response to strong consumer demand for experiences and increased investment to grow market share, acquire new customers, and drive brand awareness, and, to a lesser extent, an increase in revenue generation costs resulting from credit card payments and other revenue-related transaction costs in direct correlation with the increase in revenue. In addition, personnel and overhead costs increased to support business growth related to strong consumer demand, negatively impacting Adjusted EBITDA growth within this segment.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Adjusted EBITDA loss increased by $7 million during the nine months ended September 30, 2023, when compared to the same period in 2022, primarily due to an increase in selling and marketing expenses related to SEM, other online paid traffic acquisition costs, and other marketing costs, including brand spend, in response to strong consumer demand for experiences and increased investment to grow market share, acquire new customers, and drive brand awareness, and to a lesser extent, an increase in revenue generation costs resulting from credit card payments and other revenue-related transaction costs in direct correlation with the increase in revenue. In addition, increases in personnel and overhead costs, to support business growth related to strong consumer demand contributed to Adjusted EBITDA losses in this segment. This was all largely offset by an increase in revenue as noted above.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TheFork Segment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TheFork segment revenue increased by $7 million and $22 million during the three and nine months ended September 30, 2023, respectively, when compared to the same periods in 2022. This improvement was driven by increased consumer demand for dining, including increased bookings and pricing, during 2023 compared to the first three quarters of 2022, as well as a decrease in the negative impact of the Omicron variant that occurred during the first quarter of 2022. In addition, we estimate this segment's revenue growth rate was positively impacted by foreign currency fluctuations of approximately 6% during the three months ended September 20, 2023 when compared to the same period in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Adjusted EBITDA loss in TheFork segment decreased by $8 million during the three months ended September 30, 2023,when compared to the same period in 2022, while adjusted EBITDA margin improved by 24 percentage points during the three months ended September 30, 2023, when compared to the same period in 2022, primarily due to an increase in revenue as noted above, a decrease in selling and marketing expenses related to other online paid traffic acquisition costs, which were slightly offset by an increase in personnel and overhead costs to support business growth related to the travel demand recovery that began during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Adjusted EBITDA loss in TheFork segment decreased by $10 million during the nine months ended September 30, 2023, when compared to the same period in 2022, while adjusted EBITDA margin improved by 14 percentage points during the nine months ended September 30, 2023, when compared to the same period in 2022, primarily due to an increase in revenue as noted above, a decrease in selling and marketing expenses related to SEM and other online paid traffic acquisition costs, which were partially offset by non-income tax related government assistance benefits related to COVID-19 relief received during the second quarter of 2022 of $11 million recorded as a benefit to general and administrative expenses, which did not reoccur in 2023, and an increase in personnel and overhead costs to support business growth related to the travel demand recovery that began during 2022.</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Consolidated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 of revenue consists of expenses that are directly related or closely correlated to revenue generation, including direct costs, such as credit card and other booking transaction payment fees, data center costs, costs associated with prepaid tour tickets, ad serving fees, and other revenue generating costs. In addition, cost of revenue includes personnel and overhead expenses, including salaries, benefits, stock-based compensation and bonuses for certain customer support personnel who are directly involved in revenue generation.</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37"/>
        <w:gridCol w:w="346"/>
        <w:gridCol w:w="300"/>
        <w:gridCol w:w="514"/>
        <w:gridCol w:w="386"/>
        <w:gridCol w:w="208"/>
        <w:gridCol w:w="300"/>
        <w:gridCol w:w="514"/>
        <w:gridCol w:w="271"/>
        <w:gridCol w:w="146"/>
        <w:gridCol w:w="321"/>
        <w:gridCol w:w="697"/>
        <w:gridCol w:w="271"/>
        <w:gridCol w:w="146"/>
        <w:gridCol w:w="285"/>
        <w:gridCol w:w="569"/>
        <w:gridCol w:w="366"/>
        <w:gridCol w:w="197"/>
        <w:gridCol w:w="285"/>
        <w:gridCol w:w="488"/>
        <w:gridCol w:w="271"/>
        <w:gridCol w:w="146"/>
        <w:gridCol w:w="321"/>
        <w:gridCol w:w="697"/>
        <w:gridCol w:w="523"/>
      </w:tblGrid>
      <w:tr>
        <w:trPr/>
        <w:tc>
          <w:tcPr>
            <w:tcW w:w="16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63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3" w:type="dxa"/>
            <w:tcBorders/>
            <w:shd w:fill="FFFFFF" w:val="clear"/>
            <w:vAlign w:val="center"/>
          </w:tcPr>
          <w:p>
            <w:pPr>
              <w:pStyle w:val="TableContents"/>
              <w:bidi w:val="0"/>
              <w:spacing w:before="0" w:after="283"/>
              <w:jc w:val="center"/>
              <w:rPr/>
            </w:pPr>
            <w:r>
              <w:rPr/>
              <w:t> </w:t>
            </w:r>
          </w:p>
        </w:tc>
      </w:tr>
      <w:tr>
        <w:trPr/>
        <w:tc>
          <w:tcPr>
            <w:tcW w:w="163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pPr>
            <w:r>
              <w:rPr/>
              <w:t> </w:t>
            </w:r>
          </w:p>
        </w:tc>
        <w:tc>
          <w:tcPr>
            <w:tcW w:w="523" w:type="dxa"/>
            <w:tcBorders/>
            <w:shd w:fill="FFFFFF" w:val="clear"/>
            <w:vAlign w:val="center"/>
          </w:tcPr>
          <w:p>
            <w:pPr>
              <w:pStyle w:val="TableContents"/>
              <w:bidi w:val="0"/>
              <w:spacing w:before="0" w:after="283"/>
              <w:jc w:val="center"/>
              <w:rPr/>
            </w:pPr>
            <w:r>
              <w:rPr/>
              <w:t> </w:t>
            </w:r>
          </w:p>
        </w:tc>
      </w:tr>
      <w:tr>
        <w:trPr/>
        <w:tc>
          <w:tcPr>
            <w:tcW w:w="16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Direct costs</w:t>
            </w:r>
          </w:p>
        </w:tc>
        <w:tc>
          <w:tcPr>
            <w:tcW w:w="3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8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36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5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 and overhead</w:t>
            </w:r>
          </w:p>
        </w:tc>
        <w:tc>
          <w:tcPr>
            <w:tcW w:w="3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52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63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cost of revenue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52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63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3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18"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18" w:type="dxa"/>
            <w:gridSpan w:val="2"/>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 of revenue increased by $11 million and $28 million during the three and nine months ended September 30, 2023, respectively, when compared to the same periods in 2022. The increase in cost of revenue was primarily due to increased direct costs from credit card payment processing fees and other revenue-related transaction costs in our Viator segment in direct correlation with the increase in revenue, as Viator serves as the merchant of record for the significant majority of its experience booking transactions, and to a lesser extent, increased direct revenue generation costs related to data center costs and other revenue-related transaction costs in our Tripadvisor Core segment.</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Selling and marketing expenses consist of direct costs, including traffic generation costs from paid online traffic acquisition costs (including SEM and other online traffic acquisition costs), syndication costs and affiliate marketing commissions, social media costs, brand advertising (including television and other offline advertising), promotions and public relations. In addition, our selling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and marketing expenses consist of indirect costs such as personnel and overhead expenses, including salaries, commissions, benefits, stock-based compensation, and bonuses for sales, sales support, customer support and marketing employees.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3"/>
        <w:gridCol w:w="346"/>
        <w:gridCol w:w="259"/>
        <w:gridCol w:w="572"/>
        <w:gridCol w:w="333"/>
        <w:gridCol w:w="179"/>
        <w:gridCol w:w="259"/>
        <w:gridCol w:w="572"/>
        <w:gridCol w:w="271"/>
        <w:gridCol w:w="146"/>
        <w:gridCol w:w="310"/>
        <w:gridCol w:w="672"/>
        <w:gridCol w:w="271"/>
        <w:gridCol w:w="146"/>
        <w:gridCol w:w="254"/>
        <w:gridCol w:w="562"/>
        <w:gridCol w:w="326"/>
        <w:gridCol w:w="175"/>
        <w:gridCol w:w="254"/>
        <w:gridCol w:w="562"/>
        <w:gridCol w:w="271"/>
        <w:gridCol w:w="146"/>
        <w:gridCol w:w="310"/>
        <w:gridCol w:w="672"/>
        <w:gridCol w:w="524"/>
      </w:tblGrid>
      <w:tr>
        <w:trPr/>
        <w:tc>
          <w:tcPr>
            <w:tcW w:w="18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81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4" w:type="dxa"/>
            <w:tcBorders/>
            <w:shd w:fill="FFFFFF" w:val="clear"/>
            <w:vAlign w:val="center"/>
          </w:tcPr>
          <w:p>
            <w:pPr>
              <w:pStyle w:val="TableContents"/>
              <w:bidi w:val="0"/>
              <w:spacing w:before="0" w:after="283"/>
              <w:jc w:val="center"/>
              <w:rPr/>
            </w:pPr>
            <w:r>
              <w:rPr/>
              <w:t> </w:t>
            </w:r>
          </w:p>
        </w:tc>
      </w:tr>
      <w:tr>
        <w:trPr/>
        <w:tc>
          <w:tcPr>
            <w:tcW w:w="181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7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shd w:fill="FFFFFF" w:val="clear"/>
            <w:vAlign w:val="center"/>
          </w:tcPr>
          <w:p>
            <w:pPr>
              <w:pStyle w:val="TableContents"/>
              <w:bidi w:val="0"/>
              <w:spacing w:before="0" w:after="283"/>
              <w:jc w:val="center"/>
              <w:rPr/>
            </w:pPr>
            <w:r>
              <w:rPr/>
              <w:t> </w:t>
            </w:r>
          </w:p>
        </w:tc>
        <w:tc>
          <w:tcPr>
            <w:tcW w:w="524" w:type="dxa"/>
            <w:tcBorders/>
            <w:shd w:fill="FFFFFF" w:val="clear"/>
            <w:vAlign w:val="center"/>
          </w:tcPr>
          <w:p>
            <w:pPr>
              <w:pStyle w:val="TableContents"/>
              <w:bidi w:val="0"/>
              <w:spacing w:before="0" w:after="283"/>
              <w:jc w:val="center"/>
              <w:rPr/>
            </w:pPr>
            <w:r>
              <w:rPr/>
              <w:t> </w:t>
            </w:r>
          </w:p>
        </w:tc>
      </w:tr>
      <w:tr>
        <w:trPr/>
        <w:tc>
          <w:tcPr>
            <w:tcW w:w="18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Direct costs</w:t>
            </w:r>
          </w:p>
        </w:tc>
        <w:tc>
          <w:tcPr>
            <w:tcW w:w="3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w:t>
            </w:r>
          </w:p>
        </w:tc>
        <w:tc>
          <w:tcPr>
            <w:tcW w:w="33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w:t>
            </w:r>
          </w:p>
        </w:tc>
        <w:tc>
          <w:tcPr>
            <w:tcW w:w="32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 and overhead</w:t>
            </w:r>
          </w:p>
        </w:tc>
        <w:tc>
          <w:tcPr>
            <w:tcW w:w="3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52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1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selling and marketing</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52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3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w:t>
            </w:r>
          </w:p>
        </w:tc>
        <w:tc>
          <w:tcPr>
            <w:tcW w:w="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Direct selling and marketing costs increased by $36 million and $149 million during the three and nine months ended September 30, 2023, respectively, when compared to the same periods in 2022, while direct selling and marketing costs as a percentage of consolidated revenue was 41% and 43% during the three and nine months ended September 30, 2023, an increase from 40% and 39%, respectively, when compared to the same periods in 2022, primarily due to increased marketing investments related to strong consumer demand and growth opportunities in our experiences category.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increase in direct selling and marketing costs during the three months ended September 30, 2023, when compared to the same period in 2022, was primarily due to an increase of $40 million in paid online traffic acquisition costs, including SEM and other paid online traffic acquisition spend, and also other marketing costs, including brand spend, incurred within our Viator segment, in order to capture consumer demand, including increased investment in the marketing of our experiences offerings for growth opportunities, while paid online traffic acquisition costs in our Tripadvisor Core and TheFork segments during the third quarter of 2023 declined slightly.</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increase in direct selling and marketing costs during the nine months ended September 30, 2023, when compared to the same period in 2022, was primarily due to an increase of $152 million, in paid online traffic acquisition costs, including SEM and other paid online traffic acquisition spend, and also other marketing costs, including brand spend, the substantial majority of which was incurred within our Viator segment and to a lesser extent, our Tripadvisor Core segment, in order to capture consumer demand, including increased investment in the marketing of our experiences offerings within these segments for growth opportunities, slightly offset by a decrease in SEM and other paid online traffic acquisition spend in TheFork segment.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Personnel and overhead costs increased by $2 million and $21 million during the three and nine months ended September 30, 2023, respectively, when compared to the same periods in 2022, primarily due to an increase in headcount and contingent staff to support business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Technology and Content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computer supplies, telecom, content translation and localization, and consulting.</w:t>
      </w:r>
    </w:p>
    <w:tbl>
      <w:tblPr>
        <w:tblW w:w="10205" w:type="dxa"/>
        <w:jc w:val="left"/>
        <w:tblInd w:w="0" w:type="dxa"/>
        <w:tblLayout w:type="fixed"/>
        <w:tblCellMar>
          <w:top w:w="28" w:type="dxa"/>
          <w:left w:w="28" w:type="dxa"/>
          <w:bottom w:w="28" w:type="dxa"/>
          <w:right w:w="28" w:type="dxa"/>
        </w:tblCellMar>
      </w:tblPr>
      <w:tblGrid>
        <w:gridCol w:w="1892"/>
        <w:gridCol w:w="346"/>
        <w:gridCol w:w="255"/>
        <w:gridCol w:w="564"/>
        <w:gridCol w:w="328"/>
        <w:gridCol w:w="176"/>
        <w:gridCol w:w="255"/>
        <w:gridCol w:w="564"/>
        <w:gridCol w:w="271"/>
        <w:gridCol w:w="146"/>
        <w:gridCol w:w="307"/>
        <w:gridCol w:w="666"/>
        <w:gridCol w:w="271"/>
        <w:gridCol w:w="146"/>
        <w:gridCol w:w="250"/>
        <w:gridCol w:w="554"/>
        <w:gridCol w:w="322"/>
        <w:gridCol w:w="173"/>
        <w:gridCol w:w="250"/>
        <w:gridCol w:w="554"/>
        <w:gridCol w:w="271"/>
        <w:gridCol w:w="146"/>
        <w:gridCol w:w="307"/>
        <w:gridCol w:w="666"/>
        <w:gridCol w:w="525"/>
      </w:tblGrid>
      <w:tr>
        <w:trPr/>
        <w:tc>
          <w:tcPr>
            <w:tcW w:w="18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89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5" w:type="dxa"/>
            <w:tcBorders/>
            <w:shd w:fill="FFFFFF" w:val="clear"/>
            <w:vAlign w:val="center"/>
          </w:tcPr>
          <w:p>
            <w:pPr>
              <w:pStyle w:val="TableContents"/>
              <w:bidi w:val="0"/>
              <w:spacing w:before="0" w:after="283"/>
              <w:jc w:val="center"/>
              <w:rPr/>
            </w:pPr>
            <w:r>
              <w:rPr/>
              <w:t> </w:t>
            </w:r>
          </w:p>
        </w:tc>
      </w:tr>
      <w:tr>
        <w:trPr/>
        <w:tc>
          <w:tcPr>
            <w:tcW w:w="189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gridSpan w:val="2"/>
            <w:tcBorders/>
            <w:shd w:fill="FFFFFF" w:val="clear"/>
            <w:vAlign w:val="center"/>
          </w:tcPr>
          <w:p>
            <w:pPr>
              <w:pStyle w:val="TableContents"/>
              <w:bidi w:val="0"/>
              <w:spacing w:before="0" w:after="283"/>
              <w:jc w:val="center"/>
              <w:rPr/>
            </w:pPr>
            <w:r>
              <w:rPr/>
              <w:t> </w:t>
            </w:r>
          </w:p>
        </w:tc>
        <w:tc>
          <w:tcPr>
            <w:tcW w:w="525" w:type="dxa"/>
            <w:tcBorders/>
            <w:shd w:fill="FFFFFF" w:val="clear"/>
            <w:vAlign w:val="center"/>
          </w:tcPr>
          <w:p>
            <w:pPr>
              <w:pStyle w:val="TableContents"/>
              <w:bidi w:val="0"/>
              <w:spacing w:before="0" w:after="283"/>
              <w:jc w:val="center"/>
              <w:rPr/>
            </w:pPr>
            <w:r>
              <w:rPr/>
              <w:t> </w:t>
            </w:r>
          </w:p>
        </w:tc>
      </w:tr>
      <w:tr>
        <w:trPr/>
        <w:tc>
          <w:tcPr>
            <w:tcW w:w="18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 and overhead</w:t>
            </w:r>
          </w:p>
        </w:tc>
        <w:tc>
          <w:tcPr>
            <w:tcW w:w="3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328"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322"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3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52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9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technology and content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2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9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3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Personnel and overhead costs increased by $11 million and $38 million during the three and nine months ended September 30, 2023, respectively, when compared to the same periods in 2022, primarily due to increased personnel and overhead costs resulting from additional headcount and contingent staff to support business growth, primarily in the Tripadvisor Core and Viator segments. Other costs increased by $5 million during the nine months ended September 30, 2023, when compared to the same period in 2022, primarily due to increased software licensing costs in our Tripadvisor Core segment.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operating costs including bad debt expense, non-income taxes, such as sales, use, digital services, and other non-income related taxes.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2"/>
        <w:gridCol w:w="346"/>
        <w:gridCol w:w="268"/>
        <w:gridCol w:w="459"/>
        <w:gridCol w:w="344"/>
        <w:gridCol w:w="185"/>
        <w:gridCol w:w="268"/>
        <w:gridCol w:w="459"/>
        <w:gridCol w:w="271"/>
        <w:gridCol w:w="146"/>
        <w:gridCol w:w="304"/>
        <w:gridCol w:w="660"/>
        <w:gridCol w:w="294"/>
        <w:gridCol w:w="146"/>
        <w:gridCol w:w="247"/>
        <w:gridCol w:w="547"/>
        <w:gridCol w:w="318"/>
        <w:gridCol w:w="171"/>
        <w:gridCol w:w="247"/>
        <w:gridCol w:w="547"/>
        <w:gridCol w:w="271"/>
        <w:gridCol w:w="146"/>
        <w:gridCol w:w="248"/>
        <w:gridCol w:w="717"/>
        <w:gridCol w:w="524"/>
      </w:tblGrid>
      <w:tr>
        <w:trPr/>
        <w:tc>
          <w:tcPr>
            <w:tcW w:w="20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07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4" w:type="dxa"/>
            <w:tcBorders/>
            <w:shd w:fill="FFFFFF" w:val="clear"/>
            <w:vAlign w:val="center"/>
          </w:tcPr>
          <w:p>
            <w:pPr>
              <w:pStyle w:val="TableContents"/>
              <w:bidi w:val="0"/>
              <w:spacing w:before="0" w:after="283"/>
              <w:jc w:val="center"/>
              <w:rPr/>
            </w:pPr>
            <w:r>
              <w:rPr/>
              <w:t> </w:t>
            </w:r>
          </w:p>
        </w:tc>
      </w:tr>
      <w:tr>
        <w:trPr/>
        <w:tc>
          <w:tcPr>
            <w:tcW w:w="207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8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4" w:type="dxa"/>
            <w:gridSpan w:val="2"/>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5" w:type="dxa"/>
            <w:gridSpan w:val="2"/>
            <w:tcBorders/>
            <w:shd w:fill="FFFFFF" w:val="clear"/>
            <w:vAlign w:val="center"/>
          </w:tcPr>
          <w:p>
            <w:pPr>
              <w:pStyle w:val="TableContents"/>
              <w:bidi w:val="0"/>
              <w:spacing w:before="0" w:after="283"/>
              <w:jc w:val="center"/>
              <w:rPr/>
            </w:pPr>
            <w:r>
              <w:rPr/>
              <w:t> </w:t>
            </w:r>
          </w:p>
        </w:tc>
        <w:tc>
          <w:tcPr>
            <w:tcW w:w="524" w:type="dxa"/>
            <w:tcBorders/>
            <w:shd w:fill="FFFFFF" w:val="clear"/>
            <w:vAlign w:val="center"/>
          </w:tcPr>
          <w:p>
            <w:pPr>
              <w:pStyle w:val="TableContents"/>
              <w:bidi w:val="0"/>
              <w:spacing w:before="0" w:after="283"/>
              <w:jc w:val="center"/>
              <w:rPr/>
            </w:pPr>
            <w:r>
              <w:rPr/>
              <w:t> </w:t>
            </w:r>
          </w:p>
        </w:tc>
      </w:tr>
      <w:tr>
        <w:trPr/>
        <w:tc>
          <w:tcPr>
            <w:tcW w:w="20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 and overhead</w:t>
            </w:r>
          </w:p>
        </w:tc>
        <w:tc>
          <w:tcPr>
            <w:tcW w:w="3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344"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18"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service fees and other</w:t>
            </w:r>
          </w:p>
        </w:tc>
        <w:tc>
          <w:tcPr>
            <w:tcW w:w="3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52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7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general and administrative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52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7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68"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64" w:type="dxa"/>
            <w:gridSpan w:val="2"/>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3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Personnel and overhead costs increased by $7 million during the nine months ended September 30, 2023, when compared to the same period in 2022, primarily driven by additional headcount to help support business growth.</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Professional service fees and other costs increased by $5 million during the three months ended September 30, 2023, when compared to the same period in 2022, primarily due to incremental digital service tax costs of $2 million and bad debt expense of $3 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Professional service fees and other costs increased by $23 million during the nine months ended September 30, 2023, when compared to the same period in 2022, primarily due to non-income tax related government assistance benefits related to COVID-19 relief of $11 million received by the Company during the second quarter of 2022 in TheFork segment, which did not reoccur in 2023, as well as, and to a lesser extent, a non-recurring cost of $3 million related to previously capitalized transaction costs during the first quarter of 2023, and incremental digital service tax costs of $6 million and bad debt expense of $2 million for the nine months ended September 30,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tbl>
      <w:tblPr>
        <w:tblW w:w="9503" w:type="dxa"/>
        <w:jc w:val="left"/>
        <w:tblInd w:w="0" w:type="dxa"/>
        <w:tblLayout w:type="fixed"/>
        <w:tblCellMar>
          <w:top w:w="28" w:type="dxa"/>
          <w:left w:w="28" w:type="dxa"/>
          <w:bottom w:w="28" w:type="dxa"/>
          <w:right w:w="28" w:type="dxa"/>
        </w:tblCellMar>
      </w:tblPr>
      <w:tblGrid>
        <w:gridCol w:w="3166"/>
        <w:gridCol w:w="346"/>
        <w:gridCol w:w="356"/>
        <w:gridCol w:w="610"/>
        <w:gridCol w:w="458"/>
        <w:gridCol w:w="247"/>
        <w:gridCol w:w="356"/>
        <w:gridCol w:w="610"/>
        <w:gridCol w:w="271"/>
        <w:gridCol w:w="146"/>
        <w:gridCol w:w="344"/>
        <w:gridCol w:w="589"/>
        <w:gridCol w:w="442"/>
        <w:gridCol w:w="238"/>
        <w:gridCol w:w="344"/>
        <w:gridCol w:w="589"/>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6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w:t>
            </w:r>
          </w:p>
        </w:tc>
        <w:tc>
          <w:tcPr>
            <w:tcW w:w="3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458"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center"/>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442"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center"/>
              <w:rPr/>
            </w:pPr>
            <w:r>
              <w:rPr/>
              <w:t> </w:t>
            </w:r>
          </w:p>
        </w:tc>
        <w:tc>
          <w:tcPr>
            <w:tcW w:w="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3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center"/>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depreciation and amortization</w:t>
            </w:r>
          </w:p>
        </w:tc>
        <w:tc>
          <w:tcPr>
            <w:tcW w:w="3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5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4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7"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4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Depreciation and amortization decreased by $2 million and $10 million during the three and nine months ended September 30, 2023, respectively, when compared to the same periods in 2022, primarily due to the completion of amortization related to certain capitalized website development costs and intangible assets from business acquisitions in previous years.</w:t>
      </w:r>
      <w:r>
        <w:rPr>
          <w:rFonts w:ascii="Times New Roman" w:hAnsi="Times New Roman"/>
          <w:color w:val="000000"/>
          <w:sz w:val="20"/>
        </w:rPr>
        <w:t xml:space="preserve">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Restructuring and other related reorganization costs</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Restructuring and other related reorganization costs consist primarily of employee severance and related benefits.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051"/>
        <w:gridCol w:w="346"/>
        <w:gridCol w:w="343"/>
        <w:gridCol w:w="587"/>
        <w:gridCol w:w="441"/>
        <w:gridCol w:w="237"/>
        <w:gridCol w:w="343"/>
        <w:gridCol w:w="587"/>
        <w:gridCol w:w="271"/>
        <w:gridCol w:w="146"/>
        <w:gridCol w:w="332"/>
        <w:gridCol w:w="568"/>
        <w:gridCol w:w="426"/>
        <w:gridCol w:w="229"/>
        <w:gridCol w:w="332"/>
        <w:gridCol w:w="568"/>
        <w:gridCol w:w="398"/>
      </w:tblGrid>
      <w:tr>
        <w:trPr/>
        <w:tc>
          <w:tcPr>
            <w:tcW w:w="4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5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5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8" w:type="dxa"/>
            <w:tcBorders/>
            <w:shd w:fill="FFFFFF" w:val="cle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and other related reorganization costs</w:t>
            </w:r>
          </w:p>
        </w:tc>
        <w:tc>
          <w:tcPr>
            <w:tcW w:w="3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44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7"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42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43"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4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incurred pre-tax restructuring and other related reorganization costs of $18 million during the three and nine months ended September 30, 2023, as discussed above. These costs consisted primarily of employee severance and related benefits.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Interest expense primarily consists of interest incurred, commitment fees, and debt issuance cost amortization related to the Credit Facility, the 2025 Senior Notes, the 2026 Senior Notes, as well as interest on finance leases.</w:t>
      </w:r>
    </w:p>
    <w:tbl>
      <w:tblPr>
        <w:tblW w:w="7283" w:type="dxa"/>
        <w:jc w:val="left"/>
        <w:tblInd w:w="0" w:type="dxa"/>
        <w:tblLayout w:type="fixed"/>
        <w:tblCellMar>
          <w:top w:w="28" w:type="dxa"/>
          <w:left w:w="28" w:type="dxa"/>
          <w:bottom w:w="28" w:type="dxa"/>
          <w:right w:w="28" w:type="dxa"/>
        </w:tblCellMar>
      </w:tblPr>
      <w:tblGrid>
        <w:gridCol w:w="1426"/>
        <w:gridCol w:w="146"/>
        <w:gridCol w:w="375"/>
        <w:gridCol w:w="668"/>
        <w:gridCol w:w="295"/>
        <w:gridCol w:w="259"/>
        <w:gridCol w:w="375"/>
        <w:gridCol w:w="668"/>
        <w:gridCol w:w="166"/>
        <w:gridCol w:w="146"/>
        <w:gridCol w:w="362"/>
        <w:gridCol w:w="645"/>
        <w:gridCol w:w="284"/>
        <w:gridCol w:w="250"/>
        <w:gridCol w:w="362"/>
        <w:gridCol w:w="645"/>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shd w:fill="FFFFFF" w:val="cle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9"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0"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significant majority of interest expense incurred during the three and nine months ended September 30, 2023 and 2022, was related to the 2025 Senior Notes. Refer to “Note 6: </w:t>
      </w:r>
      <w:r>
        <w:rPr>
          <w:rFonts w:ascii="Times New Roman" w:hAnsi="Times New Roman"/>
          <w:b w:val="false"/>
          <w:i/>
          <w:color w:val="000000"/>
          <w:sz w:val="20"/>
        </w:rPr>
        <w:t>Debt</w:t>
      </w:r>
      <w:r>
        <w:rPr>
          <w:rFonts w:ascii="Times New Roman" w:hAnsi="Times New Roman"/>
          <w:color w:val="000000"/>
          <w:sz w:val="20"/>
        </w:rPr>
        <w:t xml:space="preserve">” </w:t>
      </w:r>
      <w:r>
        <w:rPr>
          <w:rFonts w:ascii="Times New Roman" w:hAnsi="Times New Roman"/>
          <w:b w:val="false"/>
          <w:color w:val="000000"/>
          <w:sz w:val="20"/>
        </w:rPr>
        <w:t>in the notes to our unaudited condensed consolidated financial statements in Item 1 in this Quarterly Report for further information on the 2025 Senior Notes.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360" w:after="120"/>
        <w:jc w:val="left"/>
        <w:rPr>
          <w:rFonts w:ascii="Times New Roman" w:hAnsi="Times New Roman"/>
          <w:b w:val="false"/>
          <w:color w:val="000000"/>
          <w:sz w:val="20"/>
        </w:rPr>
      </w:pPr>
      <w:r>
        <w:rPr>
          <w:rFonts w:ascii="Times New Roman" w:hAnsi="Times New Roman"/>
          <w:b w:val="false"/>
          <w:color w:val="000000"/>
          <w:sz w:val="20"/>
        </w:rPr>
        <w:t>Interest income primarily consists of interest earned from bank deposits available on demand, term deposits, money market funds, and marketable securities, including amortization of discounts and premiums on our marketable securities.</w:t>
      </w:r>
    </w:p>
    <w:tbl>
      <w:tblPr>
        <w:tblW w:w="7182" w:type="dxa"/>
        <w:jc w:val="left"/>
        <w:tblInd w:w="0" w:type="dxa"/>
        <w:tblLayout w:type="fixed"/>
        <w:tblCellMar>
          <w:top w:w="28" w:type="dxa"/>
          <w:left w:w="28" w:type="dxa"/>
          <w:bottom w:w="28" w:type="dxa"/>
          <w:right w:w="28" w:type="dxa"/>
        </w:tblCellMar>
      </w:tblPr>
      <w:tblGrid>
        <w:gridCol w:w="1366"/>
        <w:gridCol w:w="146"/>
        <w:gridCol w:w="449"/>
        <w:gridCol w:w="672"/>
        <w:gridCol w:w="310"/>
        <w:gridCol w:w="310"/>
        <w:gridCol w:w="449"/>
        <w:gridCol w:w="449"/>
        <w:gridCol w:w="146"/>
        <w:gridCol w:w="146"/>
        <w:gridCol w:w="433"/>
        <w:gridCol w:w="649"/>
        <w:gridCol w:w="300"/>
        <w:gridCol w:w="300"/>
        <w:gridCol w:w="433"/>
        <w:gridCol w:w="433"/>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shd w:fill="FFFFFF" w:val="cle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 w:type="dxa"/>
            <w:tcBorders/>
            <w:shd w:fill="FFFFFF" w:val="cle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10"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300"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center"/>
              <w:rPr/>
            </w:pPr>
            <w:r>
              <w:rPr/>
              <w:t> </w:t>
            </w:r>
          </w:p>
        </w:tc>
        <w:tc>
          <w:tcPr>
            <w:tcW w:w="4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Interest income increased by $9 million and $28 million during the three and nine months ended September 30, 2023, respectively, when compared to the same periods in 2022, primarily due to an increase in the average amount of cash invested and increased interest rates received on bank and term deposits, as well as an increase in interest earned on money market funds during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tbl>
      <w:tblPr>
        <w:tblW w:w="8238" w:type="dxa"/>
        <w:jc w:val="left"/>
        <w:tblInd w:w="0" w:type="dxa"/>
        <w:tblLayout w:type="fixed"/>
        <w:tblCellMar>
          <w:top w:w="28" w:type="dxa"/>
          <w:left w:w="28" w:type="dxa"/>
          <w:bottom w:w="28" w:type="dxa"/>
          <w:right w:w="28" w:type="dxa"/>
        </w:tblCellMar>
      </w:tblPr>
      <w:tblGrid>
        <w:gridCol w:w="2386"/>
        <w:gridCol w:w="146"/>
        <w:gridCol w:w="436"/>
        <w:gridCol w:w="560"/>
        <w:gridCol w:w="343"/>
        <w:gridCol w:w="302"/>
        <w:gridCol w:w="436"/>
        <w:gridCol w:w="560"/>
        <w:gridCol w:w="166"/>
        <w:gridCol w:w="146"/>
        <w:gridCol w:w="421"/>
        <w:gridCol w:w="541"/>
        <w:gridCol w:w="331"/>
        <w:gridCol w:w="291"/>
        <w:gridCol w:w="421"/>
        <w:gridCol w:w="541"/>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 w:type="dxa"/>
            <w:tcBorders/>
            <w:shd w:fill="FFFFFF" w:val="cle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02"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CFF0FC" w:val="clear"/>
            <w:vAlign w:val="center"/>
          </w:tcPr>
          <w:p>
            <w:pPr>
              <w:pStyle w:val="TableContents"/>
              <w:bidi w:val="0"/>
              <w:spacing w:before="0" w:after="283"/>
              <w:jc w:val="center"/>
              <w:rPr/>
            </w:pPr>
            <w:r>
              <w:rPr/>
              <w:t> </w:t>
            </w:r>
          </w:p>
        </w:tc>
        <w:tc>
          <w:tcPr>
            <w:tcW w:w="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Other expense, net primarily consists of net foreign exchange gains and losses incurred as a result of foreign currency movements.</w:t>
      </w:r>
    </w:p>
    <w:p>
      <w:pPr>
        <w:pStyle w:val="TextBody"/>
        <w:bidi w:val="0"/>
        <w:spacing w:before="360" w:after="120"/>
        <w:jc w:val="left"/>
        <w:rPr>
          <w:rFonts w:ascii="Times New Roman" w:hAnsi="Times New Roman"/>
          <w:sz w:val="20"/>
        </w:rPr>
      </w:pPr>
      <w:r>
        <w:rPr>
          <w:rFonts w:ascii="Times New Roman" w:hAnsi="Times New Roman"/>
          <w:b/>
          <w:i/>
          <w:color w:val="000000"/>
          <w:sz w:val="20"/>
        </w:rPr>
        <w:t>(Provision) Benefit for Income Taxes</w:t>
      </w:r>
      <w:r>
        <w:rPr>
          <w:rFonts w:ascii="Times New Roman" w:hAnsi="Times New Roman"/>
          <w:color w:val="000000"/>
          <w:sz w:val="20"/>
        </w:rPr>
        <w:t xml:space="preserve"> </w:t>
      </w:r>
    </w:p>
    <w:tbl>
      <w:tblPr>
        <w:tblW w:w="9773" w:type="dxa"/>
        <w:jc w:val="left"/>
        <w:tblInd w:w="0" w:type="dxa"/>
        <w:tblLayout w:type="fixed"/>
        <w:tblCellMar>
          <w:top w:w="28" w:type="dxa"/>
          <w:left w:w="28" w:type="dxa"/>
          <w:bottom w:w="28" w:type="dxa"/>
          <w:right w:w="28" w:type="dxa"/>
        </w:tblCellMar>
      </w:tblPr>
      <w:tblGrid>
        <w:gridCol w:w="3016"/>
        <w:gridCol w:w="346"/>
        <w:gridCol w:w="256"/>
        <w:gridCol w:w="566"/>
        <w:gridCol w:w="572"/>
        <w:gridCol w:w="420"/>
        <w:gridCol w:w="256"/>
        <w:gridCol w:w="566"/>
        <w:gridCol w:w="471"/>
        <w:gridCol w:w="346"/>
        <w:gridCol w:w="286"/>
        <w:gridCol w:w="776"/>
        <w:gridCol w:w="368"/>
        <w:gridCol w:w="198"/>
        <w:gridCol w:w="286"/>
        <w:gridCol w:w="633"/>
        <w:gridCol w:w="41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0"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6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7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54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3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5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0"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3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center"/>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Effective tax rate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w:t>
            </w:r>
          </w:p>
        </w:tc>
        <w:tc>
          <w:tcPr>
            <w:tcW w:w="57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420" w:type="dxa"/>
            <w:tcBorders/>
            <w:shd w:fill="FFFFFF" w:val="clear"/>
            <w:vAlign w:val="center"/>
          </w:tcPr>
          <w:p>
            <w:pPr>
              <w:pStyle w:val="TableContents"/>
              <w:bidi w:val="0"/>
              <w:spacing w:before="0" w:after="283"/>
              <w:ind w:left="200" w:right="0" w:firstLine="200"/>
              <w:jc w:val="left"/>
              <w:rPr/>
            </w:pPr>
            <w:r>
              <w:rPr/>
              <w:t> </w:t>
            </w:r>
          </w:p>
        </w:tc>
        <w:tc>
          <w:tcPr>
            <w:tcW w:w="256"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w:t>
            </w:r>
          </w:p>
        </w:tc>
        <w:tc>
          <w:tcPr>
            <w:tcW w:w="47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123.7</w:t>
            </w:r>
          </w:p>
        </w:tc>
        <w:tc>
          <w:tcPr>
            <w:tcW w:w="3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effective tax rate differed from the U.S. federal statutory rate of 21% during the three months ended September 30, 2023, primarily due to a reduction of a deferred tax asset related to stock options awarded in August 2013 to our former CEO, Stephen Kaufer, that expired during the three months ended September 30, 2023. Our effective tax rate differed from the U.S. federal statutory rate of 21% during the nine months ended September 30, 2023, primarily as a result of the IRS audit settlement, as described below, during the first quarter of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We recorded an income tax provision of $37 million and $115 million for the three and nine months ended September 30, 2023, respectively. The change in our income tax provision and our effective tax rate during the nine months ended September 30, 2023, when compared to the same period in 2022, was primarily the result of an IRS audit settlement and a related adjustment to our existing transfer pricing income tax reserves for subsequent tax years, totaling $55 million, which was recognized during the three months ended March 31, 2023. Refer to “Note 8: </w:t>
      </w:r>
      <w:r>
        <w:rPr>
          <w:rFonts w:ascii="Times New Roman" w:hAnsi="Times New Roman"/>
          <w:b w:val="false"/>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in the notes to our unaudited condensed consolidated financial statements in Item 1 in this Quarterly Report for further information.</w:t>
      </w:r>
      <w:r>
        <w:rPr>
          <w:rFonts w:ascii="Times New Roman" w:hAnsi="Times New Roman"/>
          <w:color w:val="000000"/>
          <w:sz w:val="20"/>
        </w:rPr>
        <w:t xml:space="preserve"> </w:t>
      </w:r>
    </w:p>
    <w:p>
      <w:pPr>
        <w:pStyle w:val="TextBody"/>
        <w:bidi w:val="0"/>
        <w:spacing w:before="360" w:after="120"/>
        <w:jc w:val="left"/>
        <w:rPr>
          <w:rFonts w:ascii="Times New Roman" w:hAnsi="Times New Roman"/>
          <w:sz w:val="20"/>
        </w:rPr>
      </w:pPr>
      <w:r>
        <w:rPr>
          <w:rFonts w:ascii="Times New Roman" w:hAnsi="Times New Roman"/>
          <w:b/>
          <w:color w:val="000000"/>
          <w:sz w:val="20"/>
        </w:rPr>
        <w:t>Net income (loss)</w:t>
      </w:r>
      <w:r>
        <w:rPr>
          <w:rFonts w:ascii="Times New Roman" w:hAnsi="Times New Roman"/>
          <w:color w:val="000000"/>
          <w:sz w:val="20"/>
        </w:rPr>
        <w:t xml:space="preserve"> </w:t>
      </w:r>
    </w:p>
    <w:tbl>
      <w:tblPr>
        <w:tblW w:w="8485" w:type="dxa"/>
        <w:jc w:val="left"/>
        <w:tblInd w:w="0" w:type="dxa"/>
        <w:tblLayout w:type="fixed"/>
        <w:tblCellMar>
          <w:top w:w="28" w:type="dxa"/>
          <w:left w:w="28" w:type="dxa"/>
          <w:bottom w:w="28" w:type="dxa"/>
          <w:right w:w="28" w:type="dxa"/>
        </w:tblCellMar>
      </w:tblPr>
      <w:tblGrid>
        <w:gridCol w:w="2346"/>
        <w:gridCol w:w="146"/>
        <w:gridCol w:w="356"/>
        <w:gridCol w:w="610"/>
        <w:gridCol w:w="458"/>
        <w:gridCol w:w="247"/>
        <w:gridCol w:w="356"/>
        <w:gridCol w:w="610"/>
        <w:gridCol w:w="271"/>
        <w:gridCol w:w="146"/>
        <w:gridCol w:w="320"/>
        <w:gridCol w:w="638"/>
        <w:gridCol w:w="502"/>
        <w:gridCol w:w="221"/>
        <w:gridCol w:w="320"/>
        <w:gridCol w:w="547"/>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vAlign w:val="center"/>
          </w:tcPr>
          <w:p>
            <w:pPr>
              <w:pStyle w:val="TableContents"/>
              <w:bidi w:val="0"/>
              <w:spacing w:before="0" w:after="283"/>
              <w:jc w:val="center"/>
              <w:rPr/>
            </w:pPr>
            <w:r>
              <w:rPr/>
              <w:t> </w:t>
            </w:r>
          </w:p>
        </w:tc>
      </w:tr>
      <w:tr>
        <w:trPr/>
        <w:tc>
          <w:tcPr>
            <w:tcW w:w="2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458"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center"/>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5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1" w:type="dxa"/>
            <w:tcBorders/>
            <w:shd w:fill="CFF0FC" w:val="clear"/>
            <w:vAlign w:val="center"/>
          </w:tcPr>
          <w:p>
            <w:pPr>
              <w:pStyle w:val="TableContents"/>
              <w:bidi w:val="0"/>
              <w:spacing w:before="0" w:after="283"/>
              <w:jc w:val="center"/>
              <w:rPr/>
            </w:pPr>
            <w:r>
              <w:rPr/>
              <w:t> </w:t>
            </w:r>
          </w:p>
        </w:tc>
        <w:tc>
          <w:tcPr>
            <w:tcW w:w="3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margin</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4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7"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5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1"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Net income increased by $2 million during the three months ended September 30, 2023 when compared to the same period in 2022. The increase in net income was primarily due to an increase in revenue, as described in more detail above under “</w:t>
      </w:r>
      <w:r>
        <w:rPr>
          <w:rFonts w:ascii="Times New Roman" w:hAnsi="Times New Roman"/>
          <w:b w:val="false"/>
          <w:i/>
          <w:color w:val="000000"/>
          <w:sz w:val="20"/>
        </w:rPr>
        <w:t>Revenue and Segment Information</w:t>
      </w:r>
      <w:r>
        <w:rPr>
          <w:rFonts w:ascii="Times New Roman" w:hAnsi="Times New Roman"/>
          <w:color w:val="000000"/>
          <w:sz w:val="20"/>
        </w:rPr>
        <w:t>”</w:t>
      </w:r>
      <w:r>
        <w:rPr>
          <w:rFonts w:ascii="Times New Roman" w:hAnsi="Times New Roman"/>
          <w:b w:val="false"/>
          <w:color w:val="000000"/>
          <w:sz w:val="20"/>
        </w:rPr>
        <w:t>; however, this was largely offset by increased direct selling and marketing costs incurred in response to strong consumer travel demand and investment to grow market share in our experiences offerings, restructuring and other related reorganization costs, primarily consisting of employee severance and related benefits, increased personnel and overhead costs to help support business growth and consumer demand, as well as, and to a lesser extent, increased direct costs from credit card payment and other revenue-related transaction costs in direct correlation with the increase in experiences revenue during the three months ended September 30, 2023, all of which are described in more detail above under “</w:t>
      </w:r>
      <w:r>
        <w:rPr>
          <w:rFonts w:ascii="Times New Roman" w:hAnsi="Times New Roman"/>
          <w:b w:val="false"/>
          <w:i/>
          <w:color w:val="000000"/>
          <w:sz w:val="20"/>
        </w:rPr>
        <w:t>Consolidated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Net income decreased by $44 million during the nine months ended September 30, 2023 when compared to the same period in 2022. The decrease in net income was largely driven by increased direct selling and marketing costs in response to strong consumer travel demand and investment to grow market share in our experiences offerings, increased personnel and overhead costs to help support business growth and consumer demand, as well as an incremental income tax expense of $55 million recognized during the first quarter of 2023 as a result of an IRS audit settlement and related adjustment to our existing transfer pricing income tax reserves for subsequent tax years and to a lesser extent, restructuring and other related reorganization costs, primarily consisting of employee severance and related benefits, increased direct costs from credit card payment and other revenue-related transaction costs in direct correlation with the increase in experiences revenue during the nine months ended September 30, 2023, and non-income tax related government assistance benefits related to COVID-19 relief of $11 million received during the second quarter of 2022, which did not reoccur in 2023, all of which are described in more detail above under “</w:t>
      </w:r>
      <w:r>
        <w:rPr>
          <w:rFonts w:ascii="Times New Roman" w:hAnsi="Times New Roman"/>
          <w:b w:val="false"/>
          <w:i/>
          <w:color w:val="000000"/>
          <w:sz w:val="20"/>
        </w:rPr>
        <w:t>Consolidated Expenses</w:t>
      </w:r>
      <w:r>
        <w:rPr>
          <w:rFonts w:ascii="Times New Roman" w:hAnsi="Times New Roman"/>
          <w:color w:val="000000"/>
          <w:sz w:val="20"/>
        </w:rPr>
        <w:t>”</w:t>
      </w:r>
      <w:r>
        <w:rPr>
          <w:rFonts w:ascii="Times New Roman" w:hAnsi="Times New Roman"/>
          <w:b w:val="false"/>
          <w:color w:val="000000"/>
          <w:sz w:val="20"/>
        </w:rPr>
        <w:t>, largely offset by an increase in revenue, as described in more detail above under “</w:t>
      </w:r>
      <w:r>
        <w:rPr>
          <w:rFonts w:ascii="Times New Roman" w:hAnsi="Times New Roman"/>
          <w:b w:val="false"/>
          <w:i/>
          <w:color w:val="000000"/>
          <w:sz w:val="20"/>
        </w:rPr>
        <w:t>Revenue and Segment Information.</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(7) restructuring and other related reorganization costs; and (8) other non-recurring expenses and income.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Some of these limitations are: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Adjusted EBITDA does not reflect our cash expenditures or future requirements for capital expenditures or contractual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Adjusted EBITDA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Adjusted EBITDA does not reflect the interest expense, or cash requirements necessary to service interest or principal payments on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Adjusted EBITDA does not consider the potentially dilutive impact of stock-based compensation or other stock-settled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Adjusted EBITDA does not reflect certain income and expenses not directly tied to the ongoing core operations of our business, such as legal reserves and settlements, restructuring and other related reorganization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Adjusted EBITDA does not reflect tax payments that may represent a reduction in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Adjusted EBITDA is unaudited and does not conform to SEC Regulation S-X, and as a result such information may be presented differently in our future filings with the SEC;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 companies, including companies in our own industry, may calculate Adjusted EBITDA differently than we do, limiting its usefulness as a comparative measure.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following table presents a reconciliation of Adjusted EBITDA to Net income (loss), the most directly comparable financial measure calculated and presented in accordance with GAAP, for the periods presented:</w:t>
      </w:r>
    </w:p>
    <w:tbl>
      <w:tblPr>
        <w:tblW w:w="10205" w:type="dxa"/>
        <w:jc w:val="left"/>
        <w:tblInd w:w="0" w:type="dxa"/>
        <w:tblLayout w:type="fixed"/>
        <w:tblCellMar>
          <w:top w:w="28" w:type="dxa"/>
          <w:left w:w="28" w:type="dxa"/>
          <w:bottom w:w="28" w:type="dxa"/>
          <w:right w:w="28" w:type="dxa"/>
        </w:tblCellMar>
      </w:tblPr>
      <w:tblGrid>
        <w:gridCol w:w="4531"/>
        <w:gridCol w:w="146"/>
        <w:gridCol w:w="347"/>
        <w:gridCol w:w="693"/>
        <w:gridCol w:w="240"/>
        <w:gridCol w:w="240"/>
        <w:gridCol w:w="347"/>
        <w:gridCol w:w="693"/>
        <w:gridCol w:w="146"/>
        <w:gridCol w:w="146"/>
        <w:gridCol w:w="332"/>
        <w:gridCol w:w="663"/>
        <w:gridCol w:w="260"/>
        <w:gridCol w:w="229"/>
        <w:gridCol w:w="332"/>
        <w:gridCol w:w="663"/>
        <w:gridCol w:w="197"/>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31"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7" w:type="dxa"/>
            <w:tcBorders/>
            <w:shd w:fill="FFFFFF" w:val="cle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c>
          <w:tcPr>
            <w:tcW w:w="24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2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197" w:type="dxa"/>
            <w:tcBorders/>
            <w:shd w:fill="FFFFFF" w:val="cle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Provision (benefit) for income taxes</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40"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26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97" w:type="dxa"/>
            <w:tcBorders/>
            <w:shd w:fill="CFF0FC"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Other expense (income), net</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24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97" w:type="dxa"/>
            <w:tcBorders/>
            <w:shd w:fill="FFFFFF" w:val="cle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Restructuring and other related reorganization costs</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40"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6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Add: Non-recurring expense (income) </w:t>
            </w: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24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Stock-based compensation</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40"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6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97" w:type="dxa"/>
            <w:tcBorders/>
            <w:shd w:fill="CFF0FC"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Legal reserves and settlements</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24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color w:val="000000"/>
              </w:rPr>
            </w:pPr>
            <w:r>
              <w:rPr>
                <w:color w:val="000000"/>
              </w:rPr>
              <w:t>—</w:t>
            </w:r>
          </w:p>
        </w:tc>
        <w:tc>
          <w:tcPr>
            <w:tcW w:w="2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97" w:type="dxa"/>
            <w:tcBorders/>
            <w:shd w:fill="FFFFFF" w:val="cle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Depreciation and amortization</w:t>
            </w:r>
          </w:p>
        </w:tc>
        <w:tc>
          <w:tcPr>
            <w:tcW w:w="146" w:type="dxa"/>
            <w:tcBorders/>
            <w:shd w:fill="CFF0FC" w:val="cle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 xml:space="preserve">The Company expensed $3 million of previously capitalized transaction costs during the first quarter of 2023 to general and administrative expenses on our unaudited condensed consolidated statement of operations. The Company considers such costs to be non-recurring in nature. </w:t>
      </w:r>
    </w:p>
    <w:p>
      <w:pPr>
        <w:pStyle w:val="TextBody"/>
        <w:bidi w:val="0"/>
        <w:spacing w:before="360" w:after="283"/>
        <w:jc w:val="left"/>
        <w:rPr>
          <w:rFonts w:ascii="Times New Roman" w:hAnsi="Times New Roman"/>
          <w:sz w:val="20"/>
        </w:rPr>
      </w:pPr>
      <w:r>
        <w:rPr>
          <w:rFonts w:ascii="Times New Roman" w:hAnsi="Times New Roman"/>
          <w:b/>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For information about our relationship with LTRIP, which may be deemed to beneficially own equity securities representing approximately 57% of our voting power as of September 30, 2023, refer to “Note 1: </w:t>
      </w:r>
      <w:r>
        <w:rPr>
          <w:rFonts w:ascii="Times New Roman" w:hAnsi="Times New Roman"/>
          <w:b w:val="false"/>
          <w:i/>
          <w:color w:val="000000"/>
          <w:sz w:val="20"/>
        </w:rPr>
        <w:t>Basis of Presentation</w:t>
      </w:r>
      <w:r>
        <w:rPr>
          <w:rFonts w:ascii="Times New Roman" w:hAnsi="Times New Roman"/>
          <w:color w:val="000000"/>
          <w:sz w:val="20"/>
        </w:rPr>
        <w:t xml:space="preserve">” </w:t>
      </w:r>
      <w:r>
        <w:rPr>
          <w:rFonts w:ascii="Times New Roman" w:hAnsi="Times New Roman"/>
          <w:b w:val="false"/>
          <w:color w:val="000000"/>
          <w:sz w:val="20"/>
        </w:rPr>
        <w:t>in the notes to our unaudited condensed consolidated financial statements in Item 1 in this Quarterly Report. We had no related party transactions with LTRIP during any of the three and nine month periods ended September 30, 2023 and 2022.</w:t>
      </w:r>
    </w:p>
    <w:p>
      <w:pPr>
        <w:pStyle w:val="TextBody"/>
        <w:bidi w:val="0"/>
        <w:spacing w:before="36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Refer to “Note 10: </w:t>
      </w:r>
      <w:r>
        <w:rPr>
          <w:rFonts w:ascii="Times New Roman" w:hAnsi="Times New Roman"/>
          <w:b w:val="false"/>
          <w:i/>
          <w:color w:val="000000"/>
          <w:sz w:val="20"/>
        </w:rPr>
        <w:t>Stock Based Awards and Other Equity Instruments</w:t>
      </w:r>
      <w:r>
        <w:rPr>
          <w:rFonts w:ascii="Times New Roman" w:hAnsi="Times New Roman"/>
          <w:color w:val="000000"/>
          <w:sz w:val="20"/>
        </w:rPr>
        <w:t xml:space="preserve">” </w:t>
      </w:r>
      <w:r>
        <w:rPr>
          <w:rFonts w:ascii="Times New Roman" w:hAnsi="Times New Roman"/>
          <w:b w:val="false"/>
          <w:color w:val="000000"/>
          <w:sz w:val="20"/>
        </w:rPr>
        <w:t>in the notes to our unaudited condensed consolidated financial statements in Item 1 in this Quarterly Report for further information on current year equity award activity, including the issuance of approximately 6.8 million service-based RSUs with a weighted average grant-date fair value of $21.51 during the nine months ended September 30, 2023.</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principal source of liquidity is cash flow generated from operations and existing cash and cash equivalents. Liquidity needs can also be met through drawdowns under the Credit Facility. As of September 30, 2023 and December 31, 2022, we had approximately $1.1 billion and $1.0 billion, respectively, of cash and cash equivalents, and $496 million of available borrowing capacity under the Credit Facility. As of September 30, 2023, $227 million of our cash and cash equivalents were held by our international subsidiaries outside of the U.S., of which approximately 45% was held in the U.K. As of September 30, 2023, the significant majority of our cash was denominated in U.S. dollars.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we had $490 million of cumulative undistributed earnings in foreign subsidiaries that are no longer considered to be indefinitely reinvested. As of September 30, 2023,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we are party a credit agreement, which, among other things, provides for a $500 million revolving credit facility with a maturity date of June 29, 2028. The Company may borrow from the Credit Facility in U.S dollars, Euros and Sterling. Borrowings under the Credit Facility generally bear interest, at the Company’s option, at a rate per annum equal to either (i) the Term Benchmark Borrowing rate, or the EURIBO rate for the interest period in effect for such borrowings in Euro; plus an applicable margin ranging from 1.75% to 2.50% (“Term Benchmark/RFP Spread”), based on the Company’s total net leverage ratio; (ii) the RFP Borrowing rate, or the Daily Simple Sterling Overnight Interbank Average rate for the interest period in effect for such borrowings in Sterling; plus the Term Benchmark/RFP Spread, based on the Company’s total net leverage ratio; or (iii) the Alternate Base Rate (“ABR”) Borrowing, which is the greatest of (a) the Prime Rate in effect on such day, (b) the New York Fed Bank Rate in effect on such day plus 1/2 of 1.00% per annum; and (c) the Term Benchmark Borrowing rate, or Adjusted Term SOFR for an interest period of one month as published two US Government Securities Business Days prior to such day (or if such day is not a US Government Securities Business Day, the immediately preceding US Government Securities Business Day) plus 1.00% per annum; in addition to an applicable margin ranging from 0.75% to 1.50%, based on the Company’s total net leverage ratio. In addition, we are required to pay a quarterly commitment fee, at an applicable rate ranging from 0.25% to 0.40%, on the daily unused portion of the Credit Facility for each fiscal quarter and in connection with the issuance of letters of credit. As of September 30, 2023, our unused revolver capacity was subject to a commitment fee of 0.25%, given the Company’s total net leverage ratio. The Credit Facility requires us to maintain a maximum total net leverage ratio and contains certain customary affirmative and negative covenants and events of default, including for a change of control.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we had no outstanding borrowings and were in compliance with our covenant requirements in effect under the Credit Facility. While there can be no assurance that we will be able to meet the total net leverage ratio covenant, based on our current projections, we do not believe there is a material risk that we will not remain in compliance throughout the next twelve months.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the Company had an aggregate outstanding principal amount of $845 million in long-term debt, as a result of the 2025 Senior Notes and 2026 Senior Notes, as discussed below.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July 2020, the Company completed the sale of $500 million in 2025 Senior Notes. The 2025 Senior Notes provide, among other things, that interest, at an interest rate of 7.0% per annum, is payable on January 15 and July 15 of each year, until their maturity on July 15, 2025. The 2025 Senior Notes are senior unsecured obligations of the Company, although unconditionally guaranteed on a joint and several basis, by certain of the Company’s domestic subsidiaries. In March 2021, the Company completed the sale of $345 million of the 2026 Senior Notes. The 2026 Senior Notes provide, among other things, that interest, at an interest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2025 Senior Notes and 2026 Senior Notes are not registered securities and there are currently no plans to register these notes as securities in the future. We may from time to time repurchase the 2025 Senior Notes or 2026 Senior Notes through tender offers, open market purchases, privately negotiated transactions or otherwise. Such repurchases, if any, will depend on prevailing market conditions, liquidity requirements, contractual restrictions and other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For further information on the Credit Facility, 2025 Senior Notes, and 2026 Senior Notes, refer to “Note 6: </w:t>
      </w:r>
      <w:r>
        <w:rPr>
          <w:rFonts w:ascii="Times New Roman" w:hAnsi="Times New Roman"/>
          <w:b w:val="false"/>
          <w:i/>
          <w:color w:val="000000"/>
          <w:sz w:val="20"/>
        </w:rPr>
        <w:t>Debt</w:t>
      </w:r>
      <w:r>
        <w:rPr>
          <w:rFonts w:ascii="Times New Roman" w:hAnsi="Times New Roman"/>
          <w:color w:val="000000"/>
          <w:sz w:val="20"/>
        </w:rPr>
        <w:t xml:space="preserve">” </w:t>
      </w:r>
      <w:r>
        <w:rPr>
          <w:rFonts w:ascii="Times New Roman" w:hAnsi="Times New Roman"/>
          <w:b w:val="false"/>
          <w:color w:val="000000"/>
          <w:sz w:val="20"/>
        </w:rPr>
        <w:t>in the notes to our unaudited condensed consolidated financial statements in Item 1 in this Quarterly Report.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During the three months ended June 30, 2023, we repurchased 4,724,729 shares of our outstanding common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stock at an average price of $15.85 per share, exclusive of fees and commissions, or $75 million in the aggregate, which completed this share repurchase program.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September 7, 2023, our Board of Directors authorized the repurchase of $250 million in shares of our common stock under a new share repurchase program. This share repurchase program, which has a term of two years, does not obligate the Company to acquire any particular number of shares and may be modified, suspended or discontinued at any time. During the three months ended September 30, 2023, the Company did not repurchase any shares of outstanding common stock under this share repurchase program.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business typically experiences seasonal fluctuations that affect the timing of our annual cash flows during the year related to working capital. As a result of our experience bookings, we receive cash from travelers at the time of booking or prior to the occurrence of an experience, and we record these amounts, net of commissions, on our unaudited condensed consolidated balance sheet as deferred merchant payables. We pay the experience operator, or the experience supplier, after the travelers’ use. Therefore, we generally receive cash from the traveler prior to paying the experience operator and this operating cycle represents a source or use of cash to us. During the first half of the year, experiences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such as a resurgence of COVID-19, may also impact typical seasonal fluctuations, which include further significant shifts in our business mix or adverse economic conditions that could result in future seasonal patterns that are 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may continue to increase, though it is still not used in a majority of bookings to date, and affect the timing of our future cash flows and working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As discussed in “Note 8: </w:t>
      </w:r>
      <w:r>
        <w:rPr>
          <w:rFonts w:ascii="Times New Roman" w:hAnsi="Times New Roman"/>
          <w:b w:val="false"/>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in the notes to our unaudited condensed consolidated financial statements in Item 1 in this Quarterly Report, we received a final notice regarding a MAP settlement with the IRS for the 2009 through 2011 tax years in January 2023, which the Company subsequently accepted in February 2023. During the three months ended June 30, 2023, we made a U.S. federal tax payment of $113 million, inclusive of interest, to Expedia related to this IRS audit settlement, pursuant to the Tax Sharing Agreement with Expedia. During the three months ended September 30, 2023, we received a competent authority refund of $49 million, inclusive of interest income, related to the IRS audit settlement. We anticipate the federal tax benefits, net of remaining state tax payments due, associated with this IRS audit settlement will be substantially settled in the next twelve months, resulting in an estimated net cash inflow of $5 million to $10 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Additionally, during August 2020 we separately received a NOPA issued by the IRS for the 2014, 2015, and 2016 tax years. These proposed adjustments are related to certain transfer pricing arrangements with our foreign subsidiaries and would result in additional income tax expense above our existing tax reserves in an estimated range of $55 million to $65 million, exclusive of interest expense, at the close of the audit if the IRS prevails. In addition, we received an issue closure notice from HMRC relating to adjustments for the 2012 through 2016 tax years in January 2021.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Although the ultimate timing for resolution of these matters is uncertain, any future payments required would negatively impact our operating cash flows.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cash flows for the nine months ended September 30, 2023 and 2022, as reflected in our unaudited condensed consolidated statements of cash flows, are summarized in the following table:</w:t>
      </w:r>
    </w:p>
    <w:p>
      <w:pPr>
        <w:pStyle w:val="TextBody"/>
        <w:bidi w:val="0"/>
        <w:jc w:val="left"/>
        <w:rPr/>
      </w:pPr>
      <w:r>
        <w:rPr/>
        <w:t> </w:t>
      </w:r>
    </w:p>
    <w:tbl>
      <w:tblPr>
        <w:tblW w:w="5561" w:type="dxa"/>
        <w:jc w:val="left"/>
        <w:tblInd w:w="0" w:type="dxa"/>
        <w:tblLayout w:type="fixed"/>
        <w:tblCellMar>
          <w:top w:w="28" w:type="dxa"/>
          <w:left w:w="28" w:type="dxa"/>
          <w:bottom w:w="28" w:type="dxa"/>
          <w:right w:w="28" w:type="dxa"/>
        </w:tblCellMar>
      </w:tblPr>
      <w:tblGrid>
        <w:gridCol w:w="2656"/>
        <w:gridCol w:w="146"/>
        <w:gridCol w:w="341"/>
        <w:gridCol w:w="681"/>
        <w:gridCol w:w="268"/>
        <w:gridCol w:w="236"/>
        <w:gridCol w:w="341"/>
        <w:gridCol w:w="68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center"/>
              <w:rPr/>
            </w:pPr>
            <w:r>
              <w:rPr/>
              <w:t> </w:t>
            </w:r>
          </w:p>
        </w:tc>
        <w:tc>
          <w:tcPr>
            <w:tcW w:w="268" w:type="dxa"/>
            <w:tcBorders/>
            <w:shd w:fill="CFF0FC" w:val="clear"/>
            <w:vAlign w:val="center"/>
          </w:tcPr>
          <w:p>
            <w:pPr>
              <w:pStyle w:val="TableContents"/>
              <w:bidi w:val="0"/>
              <w:spacing w:before="0" w:after="283"/>
              <w:jc w:val="center"/>
              <w:rPr/>
            </w:pPr>
            <w:r>
              <w:rPr/>
              <w:t> </w:t>
            </w:r>
          </w:p>
        </w:tc>
        <w:tc>
          <w:tcPr>
            <w:tcW w:w="236" w:type="dxa"/>
            <w:tcBorders/>
            <w:shd w:fill="CFF0FC" w:val="clear"/>
            <w:vAlign w:val="center"/>
          </w:tcPr>
          <w:p>
            <w:pPr>
              <w:pStyle w:val="TableContents"/>
              <w:bidi w:val="0"/>
              <w:spacing w:before="0" w:after="283"/>
              <w:jc w:val="center"/>
              <w:rPr/>
            </w:pPr>
            <w:r>
              <w:rPr/>
              <w:t> </w:t>
            </w:r>
          </w:p>
        </w:tc>
        <w:tc>
          <w:tcPr>
            <w:tcW w:w="1022"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268"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nine months ended September 30, 2023, our primary use of cash was used in operations, and from financing activities (including repurchases of our outstanding common stock at an aggregate cost of $75 million under our existing share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repurchase program at the time and payment of withholding taxes on net share settlements of our equity awards of $14 million) and investing activities (including capital expenditures of $47 million incurred during the nine months ended September 30, 2023). This use of cash was funded with cash and cash equivalents, and operating cash flows during the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2022, our primary use of cash was used in operations, and from financing activities (including payment of withholding taxes on net share settlements of our equity awards of $18 million) and investing activities (including capital expenditures of $41 million). This use of cash was funded with cash and cash equivalents, and operating cash flows during the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Net cash provided by operating activities for the nine months ended September 30, 2023, decreased by $186 million when compared to the same period in 2022, primarily due to a decrease in working capital of $122 million and a decrease in net income of $44 million, as well as, and to a lesser extent, a decrease in non-cash items of $20 million, primarily due to a decrease in deferred income tax expense. The decrease in working capital was largely driven by a U.S. federal tax payment of $113 million during the second quarter of 2023 related to the IRS audit settlement, discussed above, a $64 million U.S. federal tax refund related to the CARES Act received in 2022, which did not reoccur in 2023, and increased cash outflows from accounts payable due to timing of vendor payments. These changes were partially offset by the timing of and improvement in collection from customers, resulting in increased operating cash flows from accounts receivable during the period, and a competent authority refund received of $49 million during the third quarter of 2023 related to the IRS audit settlement, discussed above.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Net cash used in investing activities for the nine months ended September 30, 2023 increased by $10 million when compared to the same period in 2022, largely due to an increase in capital expenditures across the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cash used in financing activities for the nine months ended September 30, 2023 increased by $74 million when compared to the same period in 2022, primarily due to the repurchase of shares of our common stock of $75 million during 2023.</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Commercial Commitments and 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material changes outside the normal course of business to our contractual obligations and commercial commitments since December 31, 2022. As of September 30, 2023, other than our contractual obligations and commercial commitments, we did not have any off-balance sheet arrangements, as defined in Item 303(a)(4)(ii) of Regulation S-K promulgated by the SEC. Refer to “</w:t>
      </w:r>
      <w:r>
        <w:rPr>
          <w:rFonts w:ascii="Times New Roman" w:hAnsi="Times New Roman"/>
          <w:b w:val="false"/>
          <w:i/>
          <w:color w:val="000000"/>
          <w:sz w:val="20"/>
        </w:rPr>
        <w:t>Liquidity and Capital Resources</w:t>
      </w:r>
      <w:r>
        <w:rPr>
          <w:rFonts w:ascii="Times New Roman" w:hAnsi="Times New Roman"/>
          <w:color w:val="000000"/>
          <w:sz w:val="20"/>
        </w:rPr>
        <w:t xml:space="preserve">” </w:t>
      </w:r>
      <w:r>
        <w:rPr>
          <w:rFonts w:ascii="Times New Roman" w:hAnsi="Times New Roman"/>
          <w:b w:val="false"/>
          <w:color w:val="000000"/>
          <w:sz w:val="20"/>
        </w:rPr>
        <w:t>in Part II, Item 7. “Management’s Discussion and Analysis of Financial Condition and Results of Operations” of our Annual Report on Form 10-K for the year ended December 31, 2022 for a discussion of our contractual obligations and commercial commitments.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Contingencies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currently under examination by the IRS for the 2014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2014. As of September 30, 2023, no material assessments have resulted, except as noted below regarding our 2009, 2010, and 2011 IRS audit with Expedia, our 2014 through 2016 standalone IRS audit, and our 2012 through 2016 HMRC audit.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August 2020, we received a NOPA from the IRS for the 2014, 2015, and 2016 tax years. These proposed adjustments pertain to certain transfer pricing arrangements with our foreign subsidiaries and would result in additional income tax expenses above our existing tax reserves in an estimated range of $55 million to $65 million at the close of the audit if the IRS prevails. This estimated range takes into consideration competent authority relief, existing income tax reserves, and transition tax regulations and is exclusive of deferred tax consequences and interest expense, which would also be significant. We disagree with the proposed adjustments, and we intend to defend our position through applicable administrative and, if necessary, judicial remedies. Based on our interpretation of the regulations and available case law, we believe the position we have taken with regard to transfer pricing with our foreign subsidiaries is sustainable. In addition to the risk of additional tax for the years discussed above, if the IRS were to seek transfer pricing adjustments of a similar nature for transactions in subsequent years, we may be subject to significant additional tax liabilities. We have previously requested competent authority assistance under MAP for the tax years of 2014 through 2016. We have reviewed our transfer pricing reserves as of September 30, 2023, based on the facts and circumstances that existed as of the reporting date, and consider them to be the Company’s best estimate as of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January 2021, we received an issue closure notice from HMRC relating to adjustments for the 2012 through 2016 tax years.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the Company has taken with regard to transfer pricing with our foreign subsidiaries is sustainable.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Over the last several years, the Organization for Economic Cooperation and Development (“OECD”) has been developing its “two pillar” project to address the tax challenges arising from digitalization. The OECD project, if broadly implemented by participating countries, will result in significant changes to the international taxation system under which our current tax obligations are determined. Pillar Two of the project calls for a minimum tax rate on corporations of 15% and is expected to be implemented by a significant number of countries starting in 2024. The OECD and implementing countries are expected to continue to make further revisions to the rules, however, and the impact of these potential changes, both at the OECD level and by each implementing country, remains unknown. The Company will continue to monitor developments to determine any potential impact of Pillar Two in the countries in which we operate.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Pillar One, which would reallocate profits from the largest and most profitable businesses to countries where the customers of those businesses are located, remains under discussion at the OECD, and its implementation remains uncertain. If implemented, Pillar One would potentially result in the removal of unilateral digital services tax initiatives, such as those enacted in France, Italy, Spain, and the U.K. In July 2023, more than 138 countries and jurisdictions agreed to refrain from imposing newly enacted digital service tax initiatives or similar measures before December 31, 2024, provided the Pillar One negotiations have made sufficient progress by the end of 2023, but it remains unclear whether sufficient progress will be made to achieve this result. Furthermore, certain U.S. states, such as Maryland, have deployed comparable digital services tax initiatives. We will continue to monitor these developments to determine the financial impact to the Company. During the three and nine months ended September 30, 2023, we recorded $6 million and $13 million, respectively, of digital service tax, while during the three and nine months ended September 30, 2022, we recorded $4 million and $7 million, respectively, of digital service tax to general and administrative expense on our unaudited condensed consolidated statement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September 30, 2023. As of September 30, 2023, $490 million of our cumulative undistributed foreign earnings were no longer considered to be indefinitely reinvested.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Refer to “Note 8: </w:t>
      </w:r>
      <w:r>
        <w:rPr>
          <w:rFonts w:ascii="Times New Roman" w:hAnsi="Times New Roman"/>
          <w:b w:val="false"/>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in the notes to our unaudited condensed consolidated financial statements in Item 1 in this Quarterly Report for further information on potential tax contingencies, including current audits by the IRS and various other domestic and foreign tax authorities, and other income tax and non-income tax matters.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item3_quantitative_and_qualitative_dis"/>
      <w:bookmarkEnd w:id="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has been no material change in our market risk profile during the nine months ended September 30, 2023 since December 31, 2022. For additional information about our market risk profile, refer to “Quantitative and Qualitative Disclosures About Market Risk” in Item 7A in Part II of our Annual Report on Form 10-K for the year ended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exposure to potentially volatile movements in foreign currency exchange rates will increase as we increase our operations in international markets. Foreign currency exchange rate movement is linked to variability in inflation, interest rates, governmental actions, and macroeconomic factors such as geopolitical events and regional conflicts. We regularly monitor the macroeconomic environment, which has seen some volatility from the conflict between Russia and Ukraine, sanctions and increased cyberattacks, and, more recently, the conflict in the Middle East. Developments in the macroeconomic environment could cause us to adjust our foreign currency risk strategies. Continued uncertainty regarding our international operations and U.K. and E.U. relations may result in future currency exchange rate volatility which may impact our business and results of operations.</w:t>
      </w:r>
    </w:p>
    <w:p>
      <w:pPr>
        <w:pStyle w:val="TextBody"/>
        <w:bidi w:val="0"/>
        <w:spacing w:before="360" w:after="283"/>
        <w:jc w:val="left"/>
        <w:rPr>
          <w:rFonts w:ascii="Times New Roman" w:hAnsi="Times New Roman"/>
          <w:sz w:val="20"/>
        </w:rPr>
      </w:pPr>
      <w:bookmarkStart w:id="10" w:name="item4_controls_and_procedures"/>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September 30, 2023,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 changes to our internal control over financial reporting that occurred during the quarter ended September 30, 2023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1" w:name="item1_legal_proceedings"/>
      <w:bookmarkEnd w:id="11"/>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pStyle w:val="TextBody"/>
        <w:bidi w:val="0"/>
        <w:spacing w:before="36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2022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September 30, 2023, there were no material changes in our risk factors from those disclosed in Part 1, Item 1A., “Risk Factors” in our Annual Report on Form 10-K for the fiscal year ended December 31, 2022.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3" w:name="item2_unregistered_sales_of_equity_sec"/>
      <w:bookmarkEnd w:id="13"/>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quarter ended September 30, 2023, we did not issue or sell any shares of our common stock, Class B common stock or other equity securities pursuant to unregistered transactions in reliance upon an exemption from the registration requirements of the Securities Act of 1933, as amended.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Share Repurchases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September 7, 2023, our Board of Directors authorized the repurchase of $250 million in shares of our common stock under a new share repurchase program. Our Board of Directors authorized and directed management, working with the Executive Committee of our Board of Directors, to affect the share repurchase program in compliance with applicable legal requirements. The Executive Committee of our Board of Directors will determine the price, timing, amount and method of such repurchases based on its evaluation of market conditions and other factors, and at prices determined to be attractive and in the best interests of both the Company and its stockholders. This new share repurchase program, which has a term of two years, does not obligate the Company to acquire any particular number of shares and may be modified, suspended or discontinued at any time. During the three months ended September 30, 2023, the Company has not repurchased any shares of its outstanding common stock.</w:t>
      </w:r>
    </w:p>
    <w:p>
      <w:pPr>
        <w:pStyle w:val="TextBody"/>
        <w:bidi w:val="0"/>
        <w:spacing w:before="360" w:after="283"/>
        <w:jc w:val="left"/>
        <w:rPr>
          <w:rFonts w:ascii="Times New Roman" w:hAnsi="Times New Roman"/>
          <w:b/>
          <w:color w:val="000000"/>
          <w:sz w:val="20"/>
        </w:rPr>
      </w:pPr>
      <w:bookmarkStart w:id="14" w:name="item3_defaults_upon_senior_securities"/>
      <w:bookmarkEnd w:id="14"/>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sz w:val="20"/>
        </w:rPr>
      </w:pPr>
      <w:bookmarkStart w:id="15" w:name="item4_mine_safety_disclosures"/>
      <w:bookmarkEnd w:id="15"/>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5_other_information"/>
      <w:bookmarkEnd w:id="16"/>
      <w:r>
        <w:rPr>
          <w:rFonts w:ascii="Times New Roman" w:hAnsi="Times New Roman"/>
          <w:b/>
          <w:color w:val="000000"/>
          <w:sz w:val="20"/>
        </w:rPr>
        <w:t>Item 5. Other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third quarter of 2023, none of the Company’s directors or officers adopted</w:t>
      </w:r>
      <w:r>
        <w:rPr>
          <w:rFonts w:ascii="Times New Roman" w:hAnsi="Times New Roman"/>
          <w:color w:val="000000"/>
          <w:sz w:val="20"/>
        </w:rPr>
        <w:t xml:space="preserve"> </w:t>
      </w:r>
      <w:r>
        <w:rPr>
          <w:rFonts w:ascii="Times New Roman" w:hAnsi="Times New Roman"/>
          <w:b w:val="false"/>
          <w:color w:val="000000"/>
          <w:sz w:val="20"/>
        </w:rPr>
        <w:t>or terminated a Rule 10b5-1 trading arrangement or a non-Rule 10b5-1 trading arrangement (each as defined in Item 408(c) of Regulation S-K).</w:t>
      </w:r>
    </w:p>
    <w:p>
      <w:pPr>
        <w:pStyle w:val="TextBody"/>
        <w:bidi w:val="0"/>
        <w:spacing w:before="360" w:after="283"/>
        <w:jc w:val="left"/>
        <w:rPr>
          <w:rFonts w:ascii="Times New Roman" w:hAnsi="Times New Roman"/>
          <w:sz w:val="20"/>
        </w:rPr>
      </w:pPr>
      <w:bookmarkStart w:id="17" w:name="item6_exhibits"/>
      <w:bookmarkEnd w:id="17"/>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exhibits listed below are filed as part of this Quarterly Report.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4"/>
        <w:gridCol w:w="146"/>
        <w:gridCol w:w="5250"/>
        <w:gridCol w:w="146"/>
        <w:gridCol w:w="293"/>
        <w:gridCol w:w="488"/>
        <w:gridCol w:w="146"/>
        <w:gridCol w:w="146"/>
        <w:gridCol w:w="511"/>
        <w:gridCol w:w="146"/>
        <w:gridCol w:w="606"/>
        <w:gridCol w:w="146"/>
        <w:gridCol w:w="631"/>
        <w:gridCol w:w="146"/>
        <w:gridCol w:w="690"/>
      </w:tblGrid>
      <w:tr>
        <w:trPr/>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sz w:val="4"/>
                <w:szCs w:val="4"/>
              </w:rPr>
            </w:pPr>
            <w:r>
              <w:rPr>
                <w:sz w:val="4"/>
                <w:szCs w:val="4"/>
              </w:rPr>
            </w:r>
          </w:p>
        </w:tc>
        <w:tc>
          <w:tcPr>
            <w:tcW w:w="5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6"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1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5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14" w:type="dxa"/>
            <w:tcBorders/>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5250" w:type="dxa"/>
            <w:tcBorders/>
            <w:vAlign w:val="center"/>
          </w:tcPr>
          <w:p>
            <w:pPr>
              <w:pStyle w:val="TableContents"/>
              <w:bidi w:val="0"/>
              <w:spacing w:before="0" w:after="20"/>
              <w:jc w:val="left"/>
              <w:rPr/>
            </w:pPr>
            <w:hyperlink w:anchor="trip-ex31_1.htm">
              <w:r>
                <w:rPr>
                  <w:rStyle w:val="InternetLink"/>
                  <w:rFonts w:ascii="Times New Roman" w:hAnsi="Times New Roman"/>
                  <w:b w:val="false"/>
                  <w:color w:val="0000FF"/>
                  <w:sz w:val="20"/>
                  <w:u w:val="single"/>
                </w:rPr>
                <w:t>Certification of the Chief Executive Officer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5250" w:type="dxa"/>
            <w:tcBorders/>
            <w:vAlign w:val="center"/>
          </w:tcPr>
          <w:p>
            <w:pPr>
              <w:pStyle w:val="TableContents"/>
              <w:bidi w:val="0"/>
              <w:spacing w:before="0" w:after="20"/>
              <w:jc w:val="left"/>
              <w:rPr/>
            </w:pPr>
            <w:hyperlink w:anchor="trip-ex31_2.htm">
              <w:r>
                <w:rPr>
                  <w:rStyle w:val="InternetLink"/>
                  <w:rFonts w:ascii="Times New Roman" w:hAnsi="Times New Roman"/>
                  <w:b w:val="false"/>
                  <w:color w:val="0000FF"/>
                  <w:sz w:val="20"/>
                  <w:u w:val="single"/>
                </w:rPr>
                <w:t>Certification of the Chief Financial Officer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5250" w:type="dxa"/>
            <w:tcBorders/>
            <w:vAlign w:val="center"/>
          </w:tcPr>
          <w:p>
            <w:pPr>
              <w:pStyle w:val="TableContents"/>
              <w:bidi w:val="0"/>
              <w:spacing w:before="0" w:after="20"/>
              <w:jc w:val="left"/>
              <w:rPr/>
            </w:pPr>
            <w:hyperlink w:anchor="trip-ex32_1.htm">
              <w:r>
                <w:rPr>
                  <w:rStyle w:val="InternetLink"/>
                  <w:rFonts w:ascii="Times New Roman" w:hAnsi="Times New Roman"/>
                  <w:b w:val="false"/>
                  <w:color w:val="0000FF"/>
                  <w:sz w:val="20"/>
                  <w:u w:val="single"/>
                </w:rPr>
                <w:t>Certification of the Chief Executive Officer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5250" w:type="dxa"/>
            <w:tcBorders/>
            <w:vAlign w:val="center"/>
          </w:tcPr>
          <w:p>
            <w:pPr>
              <w:pStyle w:val="TableContents"/>
              <w:bidi w:val="0"/>
              <w:spacing w:before="0" w:after="20"/>
              <w:jc w:val="left"/>
              <w:rPr/>
            </w:pPr>
            <w:hyperlink w:anchor="trip-ex32_2.htm">
              <w:r>
                <w:rPr>
                  <w:rStyle w:val="InternetLink"/>
                  <w:rFonts w:ascii="Times New Roman" w:hAnsi="Times New Roman"/>
                  <w:b w:val="false"/>
                  <w:color w:val="0000FF"/>
                  <w:sz w:val="20"/>
                  <w:u w:val="single"/>
                </w:rPr>
                <w:t>Certification of the Chief Financial Officer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525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525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525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525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525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525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r>
      <w:tr>
        <w:trPr/>
        <w:tc>
          <w:tcPr>
            <w:tcW w:w="714"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525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b w:val="false"/>
                <w:color w:val="000000"/>
                <w:sz w:val="20"/>
              </w:rPr>
              <w:t>Cover Page Interactive Data File (embedded within the Inline XBRL document).</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r>
        <w:rPr>
          <w:rFonts w:ascii="Times New Roman" w:hAnsi="Times New Roman"/>
          <w:color w:val="000000"/>
          <w:sz w:val="20"/>
        </w:rPr>
        <w:t xml:space="preserve"> </w:t>
      </w:r>
    </w:p>
    <w:tbl>
      <w:tblPr>
        <w:tblW w:w="2758" w:type="dxa"/>
        <w:jc w:val="left"/>
        <w:tblInd w:w="0" w:type="dxa"/>
        <w:tblLayout w:type="fixed"/>
        <w:tblCellMar>
          <w:top w:w="28" w:type="dxa"/>
          <w:left w:w="28" w:type="dxa"/>
          <w:bottom w:w="28" w:type="dxa"/>
          <w:right w:w="28" w:type="dxa"/>
        </w:tblCellMar>
      </w:tblPr>
      <w:tblGrid>
        <w:gridCol w:w="361"/>
        <w:gridCol w:w="146"/>
        <w:gridCol w:w="225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758"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Tripadvisor, Inc.</w:t>
            </w:r>
          </w:p>
        </w:tc>
      </w:tr>
      <w:tr>
        <w:trPr/>
        <w:tc>
          <w:tcPr>
            <w:tcW w:w="36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Michael Noonan</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Noonan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36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Geoffrey Gouvalaris</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Geoffrey Gouvalaris</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Accounting Officer</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November 6, 2023</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9" w:name="trip-ex31_1.htm"/>
      <w:bookmarkStart w:id="20" w:name="kstripex31_1"/>
      <w:bookmarkEnd w:id="19"/>
      <w:bookmarkEnd w:id="20"/>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Matt Goldberg, Chief Executive Officer of TripAdvisor, Inc.,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for the period ended September 30, 2023 of TripAdvisor,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484" w:type="dxa"/>
        <w:jc w:val="left"/>
        <w:tblInd w:w="0" w:type="dxa"/>
        <w:tblLayout w:type="fixed"/>
        <w:tblCellMar>
          <w:top w:w="28" w:type="dxa"/>
          <w:left w:w="28" w:type="dxa"/>
          <w:bottom w:w="28" w:type="dxa"/>
          <w:right w:w="28" w:type="dxa"/>
        </w:tblCellMar>
      </w:tblPr>
      <w:tblGrid>
        <w:gridCol w:w="2101"/>
        <w:gridCol w:w="109"/>
        <w:gridCol w:w="109"/>
        <w:gridCol w:w="109"/>
        <w:gridCol w:w="20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MATT GOLDBERG</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Matt Goldberg</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1" w:name="trip-ex31_2.htm"/>
      <w:bookmarkStart w:id="22" w:name="kstripex31_2"/>
      <w:bookmarkEnd w:id="21"/>
      <w:bookmarkEnd w:id="22"/>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Michael Noonan, Chief Financial Officer of TripAdvisor, Inc.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for the period ended September 30, 2023 of TripAdvisor,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tbl>
      <w:tblPr>
        <w:tblW w:w="4559" w:type="dxa"/>
        <w:jc w:val="left"/>
        <w:tblInd w:w="0" w:type="dxa"/>
        <w:tblLayout w:type="fixed"/>
        <w:tblCellMar>
          <w:top w:w="28" w:type="dxa"/>
          <w:left w:w="28" w:type="dxa"/>
          <w:bottom w:w="28" w:type="dxa"/>
          <w:right w:w="28" w:type="dxa"/>
        </w:tblCellMar>
      </w:tblPr>
      <w:tblGrid>
        <w:gridCol w:w="2101"/>
        <w:gridCol w:w="109"/>
        <w:gridCol w:w="109"/>
        <w:gridCol w:w="109"/>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MICHAEL NOONAN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Michael Noonan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trip-ex32_1.htm"/>
      <w:bookmarkStart w:id="24" w:name="kstripex32_1"/>
      <w:bookmarkEnd w:id="23"/>
      <w:bookmarkEnd w:id="2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on Form 10-Q of TripAdvisor, Inc. (the “Company”) for the quarter ended September 30, 2023, as filed with the Securities and Exchange Commission on the date hereof (the “Report”), I, Matt Goldberg, Chief Executive Officer of the Company, certify, pursuant to Section 906 of the Sarbanes-Oxley Act of 2002, 18 U.S.C. Section 1350,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Report which this statement accompanies fully complies with the requirements of Section 13(a) or 15(d) of the Securities Exchange Act of 1934, as amended;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contained in the Report fairly presents, in all material respects, the financial condition and results of operations of the Company. </w:t>
      </w:r>
    </w:p>
    <w:tbl>
      <w:tblPr>
        <w:tblW w:w="4484" w:type="dxa"/>
        <w:jc w:val="left"/>
        <w:tblInd w:w="0" w:type="dxa"/>
        <w:tblLayout w:type="fixed"/>
        <w:tblCellMar>
          <w:top w:w="28" w:type="dxa"/>
          <w:left w:w="28" w:type="dxa"/>
          <w:bottom w:w="28" w:type="dxa"/>
          <w:right w:w="28" w:type="dxa"/>
        </w:tblCellMar>
      </w:tblPr>
      <w:tblGrid>
        <w:gridCol w:w="2101"/>
        <w:gridCol w:w="109"/>
        <w:gridCol w:w="109"/>
        <w:gridCol w:w="109"/>
        <w:gridCol w:w="20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MATT GOLDBERG</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Matt Goldberg</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trip-ex32_2.htm"/>
      <w:bookmarkStart w:id="26" w:name="kstripex32_2"/>
      <w:bookmarkEnd w:id="25"/>
      <w:bookmarkEnd w:id="26"/>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on Form 10-Q of TripAdvisor, Inc. (the “Company”) for the quarter ended September 30, 2023, as filed with the Securities and Exchange Commission on the date hereof (the “Report”), I, Michael Noonan, Chief Financial Officer of the Company, certify, pursuant to Section 906 of the Sarbanes-Oxley Act of 2002, 18 U.S.C. Section 1350,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Report which this statement accompanies fully complies with the requirements of Section 13(a) or 15(d) of the Securities Exchange Act of 1934, as amended;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contained in the Report fairly presents, in all material respects, the financial condition and results of operations of the Company. </w:t>
      </w:r>
    </w:p>
    <w:tbl>
      <w:tblPr>
        <w:tblW w:w="4559" w:type="dxa"/>
        <w:jc w:val="left"/>
        <w:tblInd w:w="0" w:type="dxa"/>
        <w:tblLayout w:type="fixed"/>
        <w:tblCellMar>
          <w:top w:w="28" w:type="dxa"/>
          <w:left w:w="28" w:type="dxa"/>
          <w:bottom w:w="28" w:type="dxa"/>
          <w:right w:w="28" w:type="dxa"/>
        </w:tblCellMar>
      </w:tblPr>
      <w:tblGrid>
        <w:gridCol w:w="2101"/>
        <w:gridCol w:w="109"/>
        <w:gridCol w:w="109"/>
        <w:gridCol w:w="109"/>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MICHAEL NOONAN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Michael Noonan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30516</Words>
  <Characters>165055</Characters>
  <CharactersWithSpaces>198292</CharactersWithSpaces>
  <Paragraphs>8851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