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ip-20251231.htm"/>
      <w:bookmarkStart w:id="1" w:name="kstrip20251231"/>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6"/>
        </w:rPr>
        <w:t>ANNUAL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fiscal year ended December 31, 2025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Commission file number: 001-35362</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6"/>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3531" w:type="dxa"/>
        <w:jc w:val="left"/>
        <w:tblInd w:w="0" w:type="dxa"/>
        <w:tblLayout w:type="fixed"/>
        <w:tblCellMar>
          <w:top w:w="28" w:type="dxa"/>
          <w:left w:w="28" w:type="dxa"/>
          <w:bottom w:w="28" w:type="dxa"/>
          <w:right w:w="28" w:type="dxa"/>
        </w:tblCellMar>
      </w:tblPr>
      <w:tblGrid>
        <w:gridCol w:w="2086"/>
        <w:gridCol w:w="109"/>
        <w:gridCol w:w="133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Nevada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80-0743202</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 of</w:t>
              <w:b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bl>
    <w:p>
      <w:pPr>
        <w:pStyle w:val="TextBody"/>
        <w:bidi w:val="0"/>
        <w:spacing w:before="40" w:after="283"/>
        <w:jc w:val="center"/>
        <w:rPr>
          <w:rFonts w:ascii="Times New Roman" w:hAnsi="Times New Roman"/>
          <w:sz w:val="16"/>
        </w:rPr>
      </w:pPr>
      <w:r>
        <w:rPr>
          <w:rFonts w:ascii="Times New Roman" w:hAnsi="Times New Roman"/>
          <w:b/>
          <w:color w:val="000000"/>
          <w:sz w:val="16"/>
        </w:rPr>
        <w:t>400 1</w:t>
      </w:r>
      <w:r>
        <w:rPr>
          <w:rFonts w:ascii="Times New Roman" w:hAnsi="Times New Roman"/>
          <w:b/>
          <w:color w:val="000000"/>
          <w:sz w:val="11"/>
        </w:rPr>
        <w:t>st</w:t>
      </w:r>
      <w:r>
        <w:rPr>
          <w:rFonts w:ascii="Times New Roman" w:hAnsi="Times New Roman"/>
          <w:color w:val="000000"/>
          <w:sz w:val="16"/>
        </w:rPr>
        <w:t xml:space="preserve"> </w:t>
      </w:r>
      <w:r>
        <w:rPr>
          <w:rFonts w:ascii="Times New Roman" w:hAnsi="Times New Roman"/>
          <w:b/>
          <w:color w:val="000000"/>
          <w:sz w:val="16"/>
        </w:rPr>
        <w:t>Avenue</w:t>
      </w:r>
    </w:p>
    <w:p>
      <w:pPr>
        <w:pStyle w:val="TextBody"/>
        <w:bidi w:val="0"/>
        <w:jc w:val="center"/>
        <w:rPr>
          <w:rFonts w:ascii="Times New Roman" w:hAnsi="Times New Roman"/>
          <w:sz w:val="20"/>
        </w:rPr>
      </w:pPr>
      <w:r>
        <w:rPr>
          <w:rFonts w:ascii="Times New Roman" w:hAnsi="Times New Roman"/>
          <w:b/>
          <w:color w:val="000000"/>
          <w:sz w:val="16"/>
        </w:rPr>
        <w:t>Needham, MA</w:t>
      </w:r>
      <w:r>
        <w:rPr>
          <w:rFonts w:ascii="Times New Roman" w:hAnsi="Times New Roman"/>
          <w:color w:val="000000"/>
          <w:sz w:val="20"/>
        </w:rPr>
        <w:t xml:space="preserve"> </w:t>
      </w:r>
      <w:r>
        <w:rPr>
          <w:rFonts w:ascii="Times New Roman" w:hAnsi="Times New Roman"/>
          <w:b/>
          <w:color w:val="000000"/>
          <w:sz w:val="16"/>
        </w:rPr>
        <w:t>02494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(Address of principal executive office) (Zip Code)</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6"/>
        </w:rPr>
        <w:t>(781) 800-5000</w:t>
      </w:r>
      <w:r>
        <w:rPr>
          <w:rFonts w:ascii="Times New Roman" w:hAnsi="Times New Roman"/>
          <w:color w:val="000000"/>
          <w:sz w:val="20"/>
        </w:rPr>
        <w:t xml:space="preserve"> </w:t>
      </w:r>
    </w:p>
    <w:p>
      <w:pPr>
        <w:pStyle w:val="TextBody"/>
        <w:bidi w:val="0"/>
        <w:spacing w:before="60" w:after="6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TRIP</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12(g) of the Act: 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The aggregate market value of our common stock held by non-affiliates of the registrant as of the last business day of the registrant’s most recently completed second fiscal quarter was $1,903,322,909</w:t>
      </w:r>
      <w:r>
        <w:rPr>
          <w:rFonts w:ascii="Times New Roman" w:hAnsi="Times New Roman"/>
          <w:color w:val="000000"/>
          <w:sz w:val="20"/>
        </w:rPr>
        <w:t xml:space="preserve"> </w:t>
      </w:r>
      <w:r>
        <w:rPr>
          <w:rFonts w:ascii="Times New Roman" w:hAnsi="Times New Roman"/>
          <w:color w:val="000000"/>
          <w:sz w:val="16"/>
        </w:rPr>
        <w:t>based on the closing price on The Nasdaq Global Select Market on such date.</w:t>
      </w:r>
      <w:r>
        <w:rPr>
          <w:rFonts w:ascii="Times New Roman" w:hAnsi="Times New Roman"/>
          <w:color w:val="000000"/>
          <w:sz w:val="20"/>
        </w:rPr>
        <w:t xml:space="preserve"> </w:t>
      </w:r>
    </w:p>
    <w:tbl>
      <w:tblPr>
        <w:tblW w:w="6516" w:type="dxa"/>
        <w:jc w:val="left"/>
        <w:tblInd w:w="0" w:type="dxa"/>
        <w:tblLayout w:type="fixed"/>
        <w:tblCellMar>
          <w:top w:w="28" w:type="dxa"/>
          <w:left w:w="28" w:type="dxa"/>
          <w:bottom w:w="28" w:type="dxa"/>
          <w:right w:w="28" w:type="dxa"/>
        </w:tblCellMar>
      </w:tblPr>
      <w:tblGrid>
        <w:gridCol w:w="3391"/>
        <w:gridCol w:w="109"/>
        <w:gridCol w:w="3016"/>
      </w:tblGrid>
      <w:tr>
        <w:trPr/>
        <w:tc>
          <w:tcPr>
            <w:tcW w:w="3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6"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5"/>
              </w:rPr>
            </w:pPr>
            <w:r>
              <w:rPr>
                <w:rFonts w:ascii="Times New Roman" w:hAnsi="Times New Roman"/>
                <w:b/>
                <w:color w:val="000000"/>
                <w:sz w:val="15"/>
              </w:rPr>
              <w:t>Outstanding Shares at February 6, 2026</w:t>
            </w:r>
          </w:p>
        </w:tc>
      </w:tr>
      <w:tr>
        <w:trPr/>
        <w:tc>
          <w:tcPr>
            <w:tcW w:w="339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16"/>
              </w:rPr>
            </w:pPr>
            <w:r>
              <w:rPr>
                <w:rFonts w:ascii="Times New Roman" w:hAnsi="Times New Roman"/>
                <w:color w:val="000000"/>
                <w:sz w:val="16"/>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114,755,221</w:t>
            </w:r>
            <w:r>
              <w:rPr>
                <w:rFonts w:ascii="Times New Roman" w:hAnsi="Times New Roman"/>
                <w:color w:val="000000"/>
                <w:sz w:val="20"/>
              </w:rPr>
              <w:t> </w:t>
            </w:r>
            <w:r>
              <w:rPr>
                <w:rFonts w:ascii="Times New Roman" w:hAnsi="Times New Roman"/>
                <w:color w:val="000000"/>
                <w:sz w:val="16"/>
              </w:rPr>
              <w:t>shares</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registrant intends to file a proxy statement pursuant to Regulation 14A not later than 120 days after the close of the fiscal year ended December 31, 2025. Portions of such proxy statement are incorporated by reference into Part III of this Annual Report on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36"/>
        <w:gridCol w:w="336"/>
        <w:gridCol w:w="7100"/>
        <w:gridCol w:w="146"/>
        <w:gridCol w:w="1187"/>
      </w:tblGrid>
      <w:tr>
        <w:trPr/>
        <w:tc>
          <w:tcPr>
            <w:tcW w:w="14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1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8872"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
              <w:r>
                <w:rPr>
                  <w:rStyle w:val="InternetLink"/>
                  <w:rFonts w:ascii="Times New Roman" w:hAnsi="Times New Roman"/>
                  <w:color w:val="0000FF"/>
                  <w:sz w:val="20"/>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1A.</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1B.</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1C.</w:t>
            </w:r>
          </w:p>
        </w:tc>
        <w:tc>
          <w:tcPr>
            <w:tcW w:w="3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2.</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3.</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4.</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7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872"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
              <w:r>
                <w:rPr>
                  <w:rStyle w:val="InternetLink"/>
                  <w:rFonts w:ascii="Times New Roman" w:hAnsi="Times New Roman"/>
                  <w:color w:val="0000FF"/>
                  <w:sz w:val="20"/>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5.</w:t>
            </w:r>
          </w:p>
        </w:tc>
        <w:tc>
          <w:tcPr>
            <w:tcW w:w="336" w:type="dxa"/>
            <w:tcBorders/>
            <w:tcMar>
              <w:top w:w="0" w:type="dxa"/>
              <w:left w:w="0" w:type="dxa"/>
              <w:bottom w:w="0" w:type="dxa"/>
              <w:right w:w="0" w:type="dxa"/>
            </w:tcMar>
            <w:vAlign w:val="center"/>
          </w:tcPr>
          <w:p>
            <w:pPr>
              <w:pStyle w:val="TableContents"/>
              <w:bidi w:val="0"/>
              <w:spacing w:before="0" w:after="283"/>
              <w:ind w:left="0" w:right="0" w:firstLine="250"/>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ind w:left="0" w:right="0" w:firstLine="250"/>
              <w:jc w:val="left"/>
              <w:rPr/>
            </w:pPr>
            <w:hyperlink w:anchor="item_5_market_for_registrants_common_equ">
              <w:r>
                <w:rPr>
                  <w:rStyle w:val="InternetLink"/>
                  <w:rFonts w:ascii="Times New Roman" w:hAnsi="Times New Roman"/>
                  <w:color w:val="0000FF"/>
                  <w:sz w:val="20"/>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6.</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rPr>
                <w:t>[Reserved]</w:t>
              </w:r>
            </w:hyperlink>
          </w:p>
        </w:tc>
        <w:tc>
          <w:tcPr>
            <w:tcW w:w="1333"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7.</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7A.</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_dis">
              <w:r>
                <w:rPr>
                  <w:rStyle w:val="InternetLink"/>
                  <w:rFonts w:ascii="Times New Roman" w:hAnsi="Times New Roman"/>
                  <w:color w:val="0000FF"/>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8.</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9.</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9_changes">
              <w:r>
                <w:rPr>
                  <w:rStyle w:val="InternetLink"/>
                  <w:rFonts w:ascii="Times New Roman" w:hAnsi="Times New Roman"/>
                  <w:color w:val="0000FF"/>
                  <w:sz w:val="20"/>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9A.</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9B.</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9b">
              <w:r>
                <w:rPr>
                  <w:rStyle w:val="InternetLink"/>
                  <w:rFonts w:ascii="Times New Roman" w:hAnsi="Times New Roman"/>
                  <w:color w:val="0000FF"/>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9C.</w:t>
            </w:r>
          </w:p>
        </w:tc>
        <w:tc>
          <w:tcPr>
            <w:tcW w:w="3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887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872"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i">
              <w:r>
                <w:rPr>
                  <w:rStyle w:val="InternetLink"/>
                  <w:rFonts w:ascii="Times New Roman" w:hAnsi="Times New Roman"/>
                  <w:color w:val="0000FF"/>
                  <w:sz w:val="20"/>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10.</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11.</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12.</w:t>
            </w:r>
          </w:p>
        </w:tc>
        <w:tc>
          <w:tcPr>
            <w:tcW w:w="336" w:type="dxa"/>
            <w:tcBorders/>
            <w:tcMar>
              <w:top w:w="0" w:type="dxa"/>
              <w:left w:w="0" w:type="dxa"/>
              <w:bottom w:w="0" w:type="dxa"/>
              <w:right w:w="0" w:type="dxa"/>
            </w:tcMar>
            <w:vAlign w:val="center"/>
          </w:tcPr>
          <w:p>
            <w:pPr>
              <w:pStyle w:val="TableContents"/>
              <w:bidi w:val="0"/>
              <w:spacing w:before="0" w:after="283"/>
              <w:ind w:left="0" w:right="0" w:firstLine="250"/>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ind w:left="0" w:right="0" w:firstLine="250"/>
              <w:jc w:val="left"/>
              <w:rPr/>
            </w:pPr>
            <w:hyperlink w:anchor="item_12">
              <w:r>
                <w:rPr>
                  <w:rStyle w:val="InternetLink"/>
                  <w:rFonts w:ascii="Times New Roman" w:hAnsi="Times New Roman"/>
                  <w:color w:val="0000FF"/>
                  <w:sz w:val="20"/>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13.</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14.</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887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872"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v">
              <w:r>
                <w:rPr>
                  <w:rStyle w:val="InternetLink"/>
                  <w:rFonts w:ascii="Times New Roman" w:hAnsi="Times New Roman"/>
                  <w:color w:val="0000FF"/>
                  <w:sz w:val="20"/>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1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143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Item 15.</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rPr>
                <w:t>Exhibit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125</w:t>
            </w:r>
          </w:p>
        </w:tc>
      </w:tr>
      <w:tr>
        <w:trPr/>
        <w:tc>
          <w:tcPr>
            <w:tcW w:w="1436" w:type="dxa"/>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Item 16.</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0" w:type="dxa"/>
            <w:tcBorders/>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887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872"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refer to Tripadvisor, Inc. and our wholly-owned subsidiaries as “Tripadvisor,” “the Group,” “the Company,” “us,” “we” and “our” in this Annual Report on Form 10-K.</w:t>
      </w:r>
    </w:p>
    <w:p>
      <w:pPr>
        <w:pStyle w:val="TextBody"/>
        <w:bidi w:val="0"/>
        <w:spacing w:before="160" w:after="283"/>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“continue,” “estimate,” “expect,” “intend,” “likely,”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Risks and uncertainties that may cause our actual results, performance or achievements to differ materially from those expressed or implied by forward-looking statements include, but are not limited to, those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they are not guarantees of future performance and are impacted by actual events when they occur after we make such statements. We expressly disclaim any responsibility to update our forward-looking statements, whether as a result of new information, future events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Investors should also refer to our quarterly reports on Form 10-Q for future periods and current reports on Form 8-K as we file them with the U.S. Securities and Exchange Commission (the "SEC"), and to other materials we may furnish to the public from time to time through SEC filings.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i"/>
      <w:bookmarkEnd w:id="2"/>
      <w:r>
        <w:rPr>
          <w:rFonts w:ascii="Times New Roman" w:hAnsi="Times New Roman"/>
          <w:b/>
          <w:color w:val="000000"/>
          <w:sz w:val="20"/>
        </w:rPr>
        <w:t>PART 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3" w:name="item_1_business"/>
      <w:bookmarkEnd w:id="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its financial performance within the following business segments: Experiences, Hotels and Other, and TheFork. The Company’s strategy is focused on growing and scaling its Experiences and TheFork marketplaces, which we believe represents an attractive long-term value creation opportunity, while optimizing its legacy offerings within the Hotels and Other segment for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Group’s globally recognized brands and extensive user-generated content (“UGC”) support traveler search, discovery, and planning, which in-turn generates high-intent demand for its experiences and dining marketplace offerings as well for commercial partners in the hotels category and advertising opportunities for endemic and non-endemic advertisers. In turn, clickstream and behavioral data reflecting traveler intent, transactional data from its experiences and dining marketplaces, UGC, and structured and unstructured data related to millions of POIs, attractions, and destinations enhance the customer experience through product enhancements and personalization, reinforcing the discovery and engagement loop over time. In addition, the breadth, depth, and scale of first party data is uniquely valuable in the Company’s pursuit to innovate in the application of artificial intelligence (“AI”) for travel and experiences discovery, planning, and booking.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believes its portfolio of unique assets creates a compelling global travel platform for travelers,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Tripadvisor's content and branded platform for upper-funnel traveler intent for experiences, and Viator’s content and branded platform for mid-and-lower funnel traveler intent for experiences. Both branded platforms leverage a shared global supply platform of more than 425,000 bookable experiences from 70,000 operators;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trusted Tripadvisor brand within Hotels and Other travel categories to drive traveler discovery, intent, and data engine;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TheFork’s recognized brand, content, relationships with more than 50,000 restaurants, and scaled diner community across 11 European countries;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Integrated AI and machine learning capabilities serving as the connective layer for ongoing enhancements to traveler personalization, planning, and conversion.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Models</w:t>
      </w:r>
    </w:p>
    <w:p>
      <w:pPr>
        <w:pStyle w:val="TextBody"/>
        <w:bidi w:val="0"/>
        <w:spacing w:before="240" w:after="120"/>
        <w:jc w:val="left"/>
        <w:rPr>
          <w:rFonts w:ascii="Times New Roman" w:hAnsi="Times New Roman"/>
          <w:sz w:val="20"/>
        </w:rPr>
      </w:pPr>
      <w:r>
        <w:rPr>
          <w:rFonts w:ascii="Times New Roman" w:hAnsi="Times New Roman"/>
          <w:color w:val="000000"/>
          <w:sz w:val="20"/>
        </w:rPr>
        <w:t>The Company measures its financial performance within the following business segments: Experiences, Hotels and Other, and TheFork. For additional information regarding our segments and the recent restructuring and related reorganization actions, please see Part II, Item 7 of this Annual Report on Form 10-K under the heading “</w:t>
      </w:r>
      <w:r>
        <w:rPr>
          <w:rFonts w:ascii="Times New Roman" w:hAnsi="Times New Roman"/>
          <w:i/>
          <w:color w:val="000000"/>
          <w:sz w:val="20"/>
        </w:rPr>
        <w:t>Management's Discussion and Analysis of Financial Condition and Results of Operations—Recent Developments.</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Experiences segment includes both Viator and Tripadvisor points-of-sale. Viator is a pure-play experiences online travel agency (“OTA”), offering an online global marketplace focused on merchandising bookable experiences to travelers that typically have relatively higher purchase intent either pre-destination or in-destination. Tripadvisor is an online global travel guidance platform that also merchandises experiences to its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audience, which more commonly serves travelers in the discovery and planning phases. Both brands leverage Viator’s centralized supply platform that supports operator onboarding, operator inventory management, bookings, payments, fraud prevention, and customer support. This architecture enables the Company to serve different customer intents across brands while benefiting from shared scale, data, and marketplace economics. In addition to its owned and operated platforms (Viator and Tripadvisor), the Company also syndicates its experiences supply to other third-party endemic and non-endemic demand partners. Demand from these partners largely reaches travelers from regions outside our core geographic markets and, therefore, drives incremental traveler demand. The Experiences segment revenue is generated primarily through commission-based transactions on completed experiences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Hotels and Other segment primarily consists of the Tripadvisor hotel and restaurant guidance platform, which includes hotel metasearch, and related advertising offerings primarily for hotels and restaurants and, to a lesser extent, cruises through our branded subsidiary Cruise Critic. Hotels and Other revenue is generated primarily through click-based advertising including cost-per-click (“CPC”) and cost-per-acquisition (“CPA”); media advertising revenue is primarily generated through impression-based advertising (“CPM”). This segment primarily provides travelers with tools to research, compare, and plan travel while delivering qualified traffic to partners and advertisers primarily across the experiences, hotels, restaurants, and cruise travel categories.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TheFork segment operates an online dining marketplace by enabling diners to discover and book restaurant reservations in Europe. TheFork provides restaurants with purpose-built software tools to help manage their reservations and attract diners. Revenue is generated through a combination of transaction ‘per seated diner’ fees for completed reservations and as well as restaurant subscription fees for use of their electronic reservation booking (“ERB”) software.</w:t>
      </w:r>
    </w:p>
    <w:p>
      <w:pPr>
        <w:pStyle w:val="TextBody"/>
        <w:bidi w:val="0"/>
        <w:spacing w:before="240" w:after="283"/>
        <w:jc w:val="left"/>
        <w:rPr>
          <w:rFonts w:ascii="Times New Roman" w:hAnsi="Times New Roman"/>
          <w:sz w:val="20"/>
        </w:rPr>
      </w:pPr>
      <w:r>
        <w:rPr>
          <w:rFonts w:ascii="Times New Roman" w:hAnsi="Times New Roman"/>
          <w:b/>
          <w:color w:val="000000"/>
          <w:sz w:val="20"/>
        </w:rPr>
        <w:t>Our Industry and Market Opportunity</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operates in large, growing global travel markets. The Company has a particular strategic focus on the global travel experiences market, which it believes represents a significant long-term growth and value creation opportunity for the Group.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Large, Growing, and Underpenetrated Experiences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global travel experiences market, which includes tours, activities, attractions, and related experiential travel offerings, is large, highly fragmented, and remains significantly underpenetrated online. According to third-party industry research from Arival, the global experiences market is expected to reach approximately $365 billion by 2028. In 2025, Arival estimates the industry is approximately 30% online penetrated, which is meaningfully lower than that of other major travel categories. Arival estimates that the online portion of the market will grow faster than the offline portion as operators adopt online tools and migrate, manage, and grow their businesses online, and as the secular shift of travelers increasingly moves more online for search, discovery, and booking continues.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a greater portion of the experiences market transacts via online channels, the Company believes its branded platforms are well positioned to benefit from this secular tailwind. The Company believes that as the industry digitizes, travelers and suppliers increasingly gravitate toward larger, trusted platforms that offer broad inventory, transparency, trusted reviews, and seamless booking and fulfillment, and that its scale and brand recognition position it to benefit from this shift.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Large Other Global Markets: Restaurants and Travel Discovery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addition to the experiences market, the Company operates in large adjacent markets, including the full-service restaurant market and restaurant technology market as well as the broader global online travel discovery and advertising markets. According to recent Euromonitor data, the European full-service restaurant industry represents a large and growing market, with online reservations accounting for a growing but still underpenetrated portion of total dining activity. The Company believes TheFork is well positioned to benefit from continued digitization of restaurants migrating online as well as consumer booking behavior migrating more online.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global travel discovery and accommodations advertising market also remains large, though it continues to evolve due to changes in consumer behavior, mobile usage, and search engine dynamics. Phocuswright, an independent travel, tourism and hospitality research firm, estimates global travel spending will continue to grow and reach approximately $1.8 trillion by 2027, exclusive of travel experiences, alternative accommodations, and dining, with an expected increasing share booked through online channels each year. We believe the Group’s brands, audience scale, and data assets position it to continue serving as a meaningful entry point for travel discovery that we can funnel to our higher-growth experiences and dining marketplace businesses.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Business Strategy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strategy is focused on growing its marketplace offerings, with a particular focus on scaling its experiences marketplace, and supported by a trusted travel guidance ecosystem leveraging unique data at scale to drive future AI product innovation. During the year ended December 31, 2025, the Group’s marketplace offerings, which includes its Experiences and TheFork segments, accounted for approximately 60% of Company's consolidated revenue mix, and 35% of its consolidated adjusted EBITDA mix, an increase from approximately 50% of consolidated revenue and 6% of consolidated adjusted EBITDA during the year ended December 31, 2023. The Company is focused on the following strategic priorities: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Growing and scaling its Experiences marketplace globally,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Leveraging complementary brands across the traveler discovery and booking funnel for experiences,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Strengthening direct traveler relationships through repeat engagement and mobile app usage,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Investing in innovative technologies such as AI and machine learning to improve personalization, planning, and conversion, and customer loyalty,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Managing Hotels and Other with an emphasis on profitability while growing UGC and proprietary data assets for AI-driven innovation,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Continuing to scale TheFork as a leading online dining marketplace in Europe.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Scaling a Global Experiences Marketplace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is prioritizing investment in its Experiences segment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Scale traveler demand acquisition beyond the North American source market, most notably in Europe;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Drive increased direct demand and traveler loyalty;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Continue to invest in product development to improve the user experience and conversion rates;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Expand and deepen the global supply of bookable experiences to provide travelers with quality choices.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highest strategic priority is to extend its position as a leader in the experiences category and deliver sustained revenue and profitability growth while enhancing long-term competitive differentiation. Today, we merchandise over 425,000 experiences from more than 70,000 operators globally through both the Viator and Tripadvisor branded platforms. The Company’s Experiences segment is powered by a common global supply platform, which enables scaled supplier inventory, supplier tools, and fulfillment capabilities across its consumer brands and points of sale.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Leveraging Complementary Brands Across the Experiences Funnel</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Within Experiences, the Company operates two complementary consumer brands that serve travelers at different stages of their booking journey: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Viator is primarily focused on converting travelers in the mid and lower funnel, serving customers who are actively shopping for and ready to book tours, activities, and attractions. Viator operates as a pure-play, two-sided global online marketplace, optimizing its product and consumer experience for merchandising to drive conversion and transaction-driven growth.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Tripadvisor primarily serves travelers in the upper funnel, helping users discover, research, and plan their trips. Tripadvisor leverages its trusted brand, large global audience, and extensive user-generated content to inspire travel and surface relevant experiences earlier in the planning process.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Both Viator and Tripadvisor leverage a shared, centralized supply base of bookable experiences that is powered by Viator’s marketplace platform. This integrated model enables the Company to efficiently scale supply, optimize distribution, and drive bookings across multiple consumer entry points.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believes Tripadvisor’s brand recognition, trust, and global reach represent a unique strategic asset in driving awareness, discovery, and long-term scale in the experiences category, supporting growth across the full traveler booking funnel.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Optimizing Hotels and Other for Engagement and Profitability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Hotels and Other segment includes Tripadvisor, which serves as a travel guidance platform providing hotel metasearch and related advertising offerings.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 focused 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Enhancing traveler engagement through its platform that provides deep of content relevance in key categories for travelers in the discovery, planning, and in-destination phases of their journey;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Driving qualified traffic to monetizable partners across key categories, namely hotels;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Diversifying monetization across media and advertising;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Aligning its cost structure with revenue and traffic dynamics.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is prioritizing disciplined investment that optimizes for profitability in this segment while maintaining Tripadvisor’s role as a trusted global travel guidance platform in the travel planning journey.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Scaling TheFork as a Leading European Online Dining Marketplace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TheFork operates as a leading online restaurant reservation and dining management platform for more than 50,000 restaurants across 11 European countries. The Company is focused on:</w:t>
        <w:b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Growing and scaling its diner community and restaurant partners in high-value geographies;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Increasing average revenue per restaurant unit (“ARPU”) through its purpose-built software that enables restaurants to manage reservation bookings and drive demand to their restaurants;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Improving unit economics that drive sustainable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Growing UGC and Proprietary Data Assets to Drive AI-Driven Innovation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believe our globally recognized brands (namely Tripadvisor, Viator, TheFork) and trusted UGC represent core strategic assets and key differentiators. Tripadvisor hosts more than one billion reviews and opinions covering over nine million destinations, points of interest, experiences, accommodations, restaurants, airlines, and cruises, and attracts hundreds of millions of visitors annually across more than 40 countries and over 20 languages.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believe this scale, breadth, and authenticity of UGC differentiates Tripadvisor from other travel platforms that are primarily transaction-focused or supplier-driven. Tripadvisor’s platform enables travelers to research, compare, and plan travel with the benefit of authentic traveler feedback serving trusted guidance. This positioning allows Tripadvisor to assist traveler decision-making across multiple downstream booking categories, including as a scaled demand channel for the Group’s Experiences segment. The Company believes that the breadth, scale, and diversity of its proprietary data assets uniquely position it to innovate in the application of artificial intelligence (“AI”) to travel discovery, planning, and booking.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data assets include user-generated content, clickstream and behavioral data reflecting traveler intent, transactional data from its experiences and dining marketplaces, and structured and unstructured data related to millions of points of interest, attractions, and destinations globally. The Company believes the combination of trusted UGC, behavioral intent data, and transactional marketplace data provides a differentiated foundation for AI-driven personalization, discovery, and trip planning. We believe these data assets, together with continued investment in AI and machine learning, position the brands within the Group to enhance relevance, engagement, and conversion across its branded platforms and to differentiate its offerings. Across all its segments, the Company is investing in AI and machine learning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Support traveler search discovery and rankings;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Enhance bookings conversion through improved personalization and engagement;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Improve content relevance, scale, and traveler impact;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Augment marketplace tooling and merchandising capabilities for suppliers; and</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Drive automation and operational efficiencies.</w:t>
        <w:br/>
      </w:r>
      <w:r>
        <w:rPr>
          <w:color w:val="000000"/>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also maintaining disciplined financial and operating practices to balance growth investments with margin expansion and long-term shareholder value creation.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summary, our Group strategic priorities are: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Scaling our Experiences marketplaces by expanding global supply, driving direct demand and repeat usage, improving conversion and unit economics, and strengthening market leadership.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Leveraging complementary brands across the traveler funnel, with Viator focused on mid- and lower-funnel conversion and Tripadvisor focused on upper-funnel discovery and planning, both supported by a shared experiences supply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Optimizing Hotels and Other for engagement and profitability through disciplined investment, monetization diversification, and cost alignment.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Expanding and strengthening TheFork through growth in seated diners, restaurant supply, and ARPU, while improving unit economics.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Investing in AI-enabled product innovation and operating discipline to improve personalization, discovery, efficiency, and long-term shareholder value.</w:t>
      </w:r>
    </w:p>
    <w:p>
      <w:pPr>
        <w:pStyle w:val="TextBody"/>
        <w:bidi w:val="0"/>
        <w:spacing w:before="24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r>
        <w:rPr>
          <w:rFonts w:ascii="Times New Roman" w:hAnsi="Times New Roman"/>
          <w:color w:val="231F20"/>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we have established world-renowned, widely used, and recognized brands through the innovative and efficient implementation of marketing and promotional campaigns. We believe we have been particularly successful with the strategic use of a number of cost effective online and offline marketing channels to reach travelers and diners, including our own platform channels (i.e., websites and apps), online search engines (primarily Google), social media, email, and increasingly through LLM platforms, media via public relations, partnerships, and content distribution. Our omni-channel marketing programs are intended to showcase the value of our industry-leading travel brands; increase user traffic; efficiently drive transactions and engagement; optimize ongoing traveler acquisition costs; and strategically position our brands in relation to one another as we continue to differentiate our offering versus those of our competitors. Our sustained scale and profitability depend on our ability to effectively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 our costs steady and increase the overall number of users engaged on our platforms and their subsequent transactions. We continue to focus on attracting and engaging new and repeat users and encourage users to directly visit our websites and apps, while leveraging our ability to manage our marketing investments across our portfolio of brands to optimize results for the Company. Our flexibility enables us to make decisions on a brand-by-brand, market-by-market, travel segment and customer basis that we think are appropriate based on the relative growth opportunity, the expected returns and the competitive environment. </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We operate in very competitive market environments that constantly evolve and change. Some of our current and potential competitors, listed below, have significantly more customers, data, and financial and other resources than we do, and may be able to leverage those strengths to compete more aggressively with us. Information regarding risks associated with increased competition may be found in Part I, Item 1A of this Annual Report on Form 10-K under the heading "</w:t>
      </w:r>
      <w:r>
        <w:rPr>
          <w:rFonts w:ascii="Times New Roman" w:hAnsi="Times New Roman"/>
          <w:i/>
          <w:color w:val="000000"/>
          <w:sz w:val="20"/>
        </w:rPr>
        <w:t>Risk Factors.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Across our three segments, we primarily compete, and in some cases partner, with the following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OTAs, such as Expedia, Booking, Airbnb, Traveloka, Despegar, Trip.com, and their respective subsidiaries and operating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Experiences OTAs, such as GetYourGuide, Klook, and TUI Musement;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Hotel metasearch providers, such as trivago, Kayak and Skyscanner;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Online search, social media, travel influencers, and marketplace platforms for advertising spend, such as Google, Facebook, X, Pinterest, and Snap;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Global and regional travel, experiences, and restaurant brands seeking to promote direct bookings;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online advertising businesses, such as ad-supported retail and entertainment platforms like Amazon, Spotify, and Walmart;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Artificial intelligence (“AI”) driven travel curators, such as Travel Plan AI, Aitinerary, Wonderplan, Roam Around and similar websites;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Traditional offline travel agencies;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Global and regional restaurant technology providers for reservation management and related services, such as OpenTable, Resy, and Tock.</w:t>
      </w:r>
    </w:p>
    <w:p>
      <w:pPr>
        <w:pStyle w:val="TextBody"/>
        <w:bidi w:val="0"/>
        <w:spacing w:before="360" w:after="283"/>
        <w:jc w:val="left"/>
        <w:rPr>
          <w:rFonts w:ascii="Times New Roman" w:hAnsi="Times New Roman"/>
          <w:sz w:val="20"/>
        </w:rPr>
      </w:pPr>
      <w:r>
        <w:rPr>
          <w:rFonts w:ascii="Times New Roman" w:hAnsi="Times New Roman"/>
          <w:b/>
          <w:color w:val="000000"/>
          <w:sz w:val="20"/>
        </w:rPr>
        <w:t>Commercial Relationships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commercial relationships with several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years ended December 31, 2025 and 2024, Booking (and its subsidiaries) accounted for 10% or more of our consolidated revenue, and together with Expedia (and its subsidiaries), our two most significant travel partners, accounted for approximately 21% and 22%, respectively, of our consolidated revenue. For the year ended December 31, 2023, Expedia and Booking each accounted for 10% or more of our consolidated revenue, and together accounted for approximately 25%. Nearly all of this concentration of revenue is included in our Hotels and Other segment during these reporting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business is dependent on relationships with third-party service operators that we rely on to fulfill service obligations to our customers where we are the merchant of record, such as our experience providers. However, no single operator’s inventory resulted in more than 10% of our revenue on a consolidated basis or at a reportable segment level in any period presented.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Operations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systems infrastructure for our branded websites is in a "hybrid-cloud" configuration in which parts of it are housed at a co-location facility and managed by our operations team, while the rest is hosted by Amazon Web Services. Our infrastructure installations have multiple communication links as well as continuous monitoring and engineering support. The co-location facility is protected with both network-level and application-level defenses, using well known commercial solutions specifically tailored for such purposes. We make use of Amazon Web Services availability zones to provide redundancy for the cloud portions of our infrastructure. Substantially all of our software components, data, and content are replicated in multiple data centers and development centers, as well as backed up at offsite locations. Our systems are monitored and protected through multiple layers of security. Several of our individual subsidiaries and businesses have their own technology teams to support business growth while leveraging common assets, tools and processes for scale across the group.</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is an important component of our business. We rely on our intellectual property rights covering a number of assets, including our content, proprietary technology, software code, ratings indexes, and databases of reviews, forum content and other types of user-generated content. We have acquired some of our intellectual property rights through licenses and content agreements with third parties and these arrangements may place restrictions on the use of our intellectual property. Our brands, trademarks and internet domain names are among our most important intellectual property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protect our intellectual property by relying on our terms of use, confidentiality agreements and contractual provisions, as well as on international, national, federal, state and common law rights. In addition, we use open-source software in certain of our products and services, and although we monitor our use of such software, the terms of some open-source licenses could, under certain circumstances, require us to disclose our source code, make certain of our software available on unfavorable terms, or otherwise limit how we commercialize our technologies. We protect our brands by pursuing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our copyrightable content, we post and institute procedures under the U.S. Digital Millennium Copyright Act and similar “host privilege” statutes worldwide to gain immunity from copyright liability for photographs, text and other content loaded on our platform by consumers. However, differences between statutes, limitations on immunity, political and regulatory efforts to amend relevant statutes, and moderation efforts in the many jurisdictions in which we operate may affect our ability to claim immunity.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technical resources, any of which could materially harm our business.</w:t>
      </w:r>
    </w:p>
    <w:p>
      <w:pPr>
        <w:pStyle w:val="TextBody"/>
        <w:bidi w:val="0"/>
        <w:spacing w:before="360" w:after="283"/>
        <w:jc w:val="left"/>
        <w:rPr>
          <w:rFonts w:ascii="Times New Roman" w:hAnsi="Times New Roman"/>
          <w:sz w:val="20"/>
        </w:rPr>
      </w:pPr>
      <w:r>
        <w:rPr>
          <w:rFonts w:ascii="Times New Roman" w:hAnsi="Times New Roman"/>
          <w:b/>
          <w:color w:val="000000"/>
          <w:sz w:val="20"/>
        </w:rPr>
        <w:t>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increasingly complex and changing laws, directives, industry standards, rules and regulations as well as contractual obligations, governing tourism, libel and defamation, content, digital services, online marketplaces and payment services, consumer protection (including rules specific to online platforms and intermediaries), data (including AI), privacy and security, intellectual property and labor and employment, among others, in the jurisdictions in which we operate. In addition, we are subject to increasingly complex and changing laws, directives, industry standards, rules and regulations as well as contractual obligations, related to data privacy and security in the U.S. and around the world that impose broad compliance obligations on the collection, transmission, dissemination, use, privacy, confidentiality, security, retention, availability, integrity and other processing of personal information. As we continue to expand the reach of our brands into additional international markets, and develop and deploy AI solutions across our operations and platforms, we are increasingly subject to additional and evolving laws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U.S. (as well as individual states), the E.U. (as well as member states), the U.K. and other countries have adopted legislation that regulates certain aspects of the internet and digital services, including online editorial and user-generated content, AI, data privacy, behavioral targeting and online advertising. In addition, the E.U. and U.K. adopted the General Data Protection Regulation (“GDPR”), which imposes strict compliance obligations with respect to our ability to collect, use, retain, protect, disclose, transfer and otherwise process personal information, including a principal of accountability, the obligation to demonstrate compliance through policies, procedures, training and audits.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these laws and regulations are evolving and are subject to change. Many are being tested in courts, and could be interpreted by regulators and courts in ways that could harm our business. In addition, it is difficult to accurately predict how such legislation will be interpreted and applied or whether new laws or regulations will be imposed on our services, and whether or how we might be affected. This regulatory environment adds complexity, variation in requirements, conflicts between regimes and regulation, restrictions and potential legal risks; requires additional investment of resources in compliance programs; impacts data practices and the availability of previously useful data; and could result in increased compliance costs and/or changes in business practices and policies.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There are, and will likely continue to be, an increasing number of laws and regulations pertaining to the internet and online commerce and/or information retrieved from or transmitted over the internet, online editorial and user-generated content, user privacy, behavioral targeting and online advertising, artificial intelligence and algorithmic decision-making, the use of AI in automated content generation and consumer-facing applications, and liability for third-party activities. Likewise, the SEC, Department of Justice (“DOJ”) and Office of Foreign Assets Controls (“OFAC”), as well as foreign regulatory authorities, have continued to increase the enforcement of economic sanctions and trade regulations, and anti-money laundering laws, across industries. As regulations continue to evolve and regulatory oversight continues to increase, we cannot guarantee that our programs and policies will be deemed compliant by all applicable regulatory authorities. </w:t>
        <w:br/>
        <w:t> </w:t>
      </w:r>
    </w:p>
    <w:p>
      <w:pPr>
        <w:pStyle w:val="TextBody"/>
        <w:bidi w:val="0"/>
        <w:jc w:val="left"/>
        <w:rPr>
          <w:rFonts w:ascii="Times New Roman" w:hAnsi="Times New Roman"/>
          <w:sz w:val="20"/>
        </w:rPr>
      </w:pPr>
      <w:r>
        <w:rPr>
          <w:rFonts w:ascii="Times New Roman" w:hAnsi="Times New Roman"/>
          <w:color w:val="000000"/>
          <w:sz w:val="20"/>
        </w:rPr>
        <w:t xml:space="preserve">For additional information about the Regulation risks, see “Risk Factors” under the section entitled </w:t>
      </w:r>
      <w:r>
        <w:rPr>
          <w:rFonts w:ascii="Times New Roman" w:hAnsi="Times New Roman"/>
          <w:color w:val="231F20"/>
          <w:sz w:val="20"/>
        </w:rPr>
        <w:t>“A failure to comply with existing or new laws, rules and regulations or changes to such laws, rules and regulations and other legal uncertainties may adversely affect our business or financial results”</w:t>
      </w:r>
      <w:r>
        <w:rPr>
          <w:rFonts w:ascii="Times New Roman" w:hAnsi="Times New Roman"/>
          <w:color w:val="000000"/>
          <w:sz w:val="20"/>
        </w:rPr>
        <w:t xml:space="preserve"> in Part I, Item 1A of this Annual Report on Form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History, Equity Ownership and Voting Control</w:t>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Tripadvisor was founded in February 2000.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Following this spin-off, on December 21, 2011, Tripadvisor began trading on The Nasdaq Global Select Market, or Nasdaq, as an independent public company under the trading symbol “TRIP.”</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 On August 27, 2014, the entire beneficial ownership of our common stock and Class B common stock held by Liberty was acquired by Liberty TripAdvisor Holdings, Inc., or LTRIP. As a result of these transactions, and as of December 31, 2024, LTRIP beneficially owned approximately 11% of the outstanding shares of common stock and 100% of the outstanding shares of Class B common stock, which represented approximately 56% of our voting power.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18, 2024, Tripadvisor entered into an Agreement and Plan of Merger with Liberty TripAdvisor Holdings, Inc. (“LTRIP”) and a wholly owned merger subsidiary, pursuant to which Tripadvisor agreed to acquire LTRIP (the “Merger”). The Merger closed on April 29, 2025, and LTRIP became an indirect, wholly owned subsidiary of Tripadvisor. In connection with the transaction, each share of LTRIP Series A and Series B common stock was converted into the right to receive cash consideration of $0.2567 per share, totaling approximately $20 million in the aggregate, and all outstanding shares of LTRIP's 8% Series A cumulative redeemable preferred stock were converted into the right to receive approximately $42.5 million in cash and 3,037,959 shares of Tripadvisor common stock. The Company provided a loan in an amount of $327 million to LTRIP, which used the proceeds to settle Liberty TripAdvisor’s 0.50 percent exchangeable senior debentures in March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Merger, LTRIP beneficially owned an aggregate of 26.8 million Tripadvisor shares, consisting of 14.0 million shares of common stock and 12.8 million shares of Class B common stock. Upon consummation of the Merger, we retired and cancelled the shares of Tripadvisor common stock and Class B common stock previously held by LTRIP and issued new shares of Tripadvisor common stock to the LTRIP preferred stockholder, resulting in a net reduction in our shares outstanding of approximately 23.8 million shares and a simplified capital structure with a single class of common stock and no controlling stockholder. As a result of the Merger, we are no longer a “controlled company” under the Nasdaq Stock Market Listing Rules (the “Nasdaq Rules”) and are no longer subject to the governance agreement previously in place among Tripadvisor, Liberty Interactive Corporation and Barry Diller.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effective April 29, 2025, we effected a redomestication by conversion from a Delaware corporation to a Nevada corporation, as previously approved by our stockholders in June 2023, by filing a certificate of conversion with the Delaware Secretary of State and articles of conversion and articles of incorporation with the Nevada Secretary of State. The conversion did not affect the continuity of the Company or its consolidated financial statement.</w:t>
      </w:r>
    </w:p>
    <w:p>
      <w:pPr>
        <w:pStyle w:val="TextBody"/>
        <w:bidi w:val="0"/>
        <w:spacing w:before="36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approximately 2,590 employees, with approximately 68%, 28%, and 4% of employees based in Europe, the U.S., and the rest of world, respectively. Additionally, we use independent contractors to supplement our workforce. Our employees and independent contractors are subject to our Code of Business Conduct and Ethics, which sets forth a commitment to operate in accordance with the highest ethical, professional, and legal standards. We believe we have good relationships with our employees and contractors, including relationships with employees represented by international works councils or other similar organizations. Our Board of Directors, Compensation Committee, and Section 16 Committee have oversight of our human capital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5, 2025, the Company initiated a series of cost savings actions following a decision to realign its operating model across its Experiences segment and Hotels and Other segment (formerly Viator and Brand Tripadvisor segments) to support the Company’s positioning as an experiences-led and AI-enabled company. These cost savings actions primarily include a global workforce reduction, as well as other targeted operating expense reductions. For additional information regarding our recent restructuring and related reorganization 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please see Part II, Item 7 of this Annual Report on Form 10-K under the heading “Management’s Discussion and Analysis of Financial Condition and Results of Operations—Recent Developments.”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Talent Acquisition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employees are essential to our success and that the Company’s success depends on our ability to attract, develop and retain key talent. The skills, experience and industry knowledge of key employees significantly benefit our operations and performance. Competition for qualified personnel is intense, particularly for software engineers, computer scientists, and other technical staff, and constrained labor markets have increased competition for personnel across other parts of our business. The Company's management and Board of Directors oversee various initiatives for talent acquisition, retention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talent philosophy is to both develop talent from within and to strategically recruit key external talent. We believe that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qualified candidates to enable the success of the Company and achievement of our performance goals. We attempt to recruit the most qualified candidates for each position without regard to gender, ethnicity or other protected traits and are committed to comply fully with all domestic, foreign and local laws relating to discrimination in the workplace. Our talent acquisition team uses internal and external resources to recruit highly skilled and talented workers, and we encourage employee referrals for open positions.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important that our employees represent a mix of experiences and backgrounds in order to make our company stronger, more innovative and more inclusive. Inclusion is one of our core values. Our inclusion initiatives support our goal that everyone throughout the Company is engaged in creating an inclusive workplace. We offer leadership training and support to ensure that all employees are supported in their careers. Additionally, we also support a network of active Employee Resource Groups, which are open to all employees.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Total Rewards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Health and Safety</w:t>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 xml:space="preserve">The health and safety of our employees is of utmost importance to us. We conduct regular self-assessments and audits designed to ensure compliance with our health and safety guidelines and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information about Human Capital Management risks, see “Risk Factors” under the section entitled “Our future success depends on the performance of our key employees and our ability to attract, retain and engage senior management and a highly skilled workforce” in Part I, Item 1A of this Annual Report on Form 10-K.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Additional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Investor Relations website at http://ir.tripadvisor.com/investor-relations. Except as explicitly noted, the information on our website, as well as the websites of our various brands, is not incorporated by reference in this Annual Report on Form 10-K, or in any other filings with, or in any information furnished or submitted to,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in addition to required filings with the SEC, we use our Investor Relations website (http://ir.tripadvisor.com/investor-relations) to announce material financial information to our investors as well as communicate with the public about our company, our results of operations and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post our Code of Business Conduct and Ethics, which applies to all directors, officers, employees, contractors, and consultants, on our Investor Relations website at http://ir.tripadvisor.com/corporate-governance. We intend to disclose any amendments or waivers of the code of ethics for our executive officers, senior financial officers or directors, on our Investor Relations website.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_1a"/>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 Factors Summary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is a summary list of the principal risks that make an investment in our securities speculative or risky. For additional information, please refer to the detailed descriptions following the summary.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Success of strategic initiatives, including distinct positioning of our unique and trusted brands;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change by our search and metasearch partners in how they present travel search results or conduct their auctions for search placement in a manner that is competitively disadvantageous to us;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Liability risks in our experiences marketplace for safety incidents, quality failures, and judgment-proof suppliers;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performance marketing efficiency and the general effectiveness of our advertising and marketing efforts;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Declines or disruptions in the worldwide travel industry, including health concerns, natural disasters, terrorist attacks, civil or political unrest or other events outside our control;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respond to and keep up with the rapid pace of technological and market changes;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successfully manage growth and expand our global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systems-related failures or security breaches and data privacy risks and obligations;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Risks associated with the facilitation of payments from consumers, including fraud and compliance with evolving rules and regulations and reliance on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Financial risks including increased debt levels and stock price volatility;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Fluctuations in foreign currency exchange rates and other risks associated with doing business in multiple currencies and jurisdictions;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Risks related to the loss of our “controlled company” status following the Merger with LTRIP.</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Our Business and Industry</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strategic initiatives are unsuccessful and/or do not achieve their expected benefits, there could be negative impacts to our business, financial condition and results of operations.</w:t>
      </w:r>
      <w:r>
        <w:rPr>
          <w:rFonts w:ascii="Times New Roman" w:hAnsi="Times New Roman"/>
          <w:color w:val="000000"/>
          <w:sz w:val="20"/>
        </w:rPr>
        <w:t xml:space="preserve"> As described in “</w:t>
      </w:r>
      <w:r>
        <w:rPr>
          <w:rFonts w:ascii="Times New Roman" w:hAnsi="Times New Roman"/>
          <w:i/>
          <w:color w:val="000000"/>
          <w:sz w:val="20"/>
        </w:rPr>
        <w:t>Our Business Strategy</w:t>
      </w:r>
      <w:r>
        <w:rPr>
          <w:rFonts w:ascii="Times New Roman" w:hAnsi="Times New Roman"/>
          <w:color w:val="000000"/>
          <w:sz w:val="20"/>
        </w:rPr>
        <w:t>,” and elsewhere in this Report, we have a number of strategic priorities and initiatives planned including, but not limited to, extending our leadership position in our two-sided marketplace for experiences, while at the same time managing our core Hotels and Other segment for profitability. We also regularly evaluate strategic options to create shareholder value, including the current exploration of strategic alternatives for TheFork as part of our broader portfolio review. There are no assurances that we will be successful in executing some or any of our strategic initiatives or realize the benefits of these efforts, on our anticipated timeline or at all. Our efforts may prove more difficult than we currently anticipate. There can be no assurances that any restructuring activities that we have undertaken or will undertake in the future will be completed or, in the event that they are completed, will achieve the operating efficiencies or other benefits that we may initially expect.</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If we are unable to continue to attract a significant number of visitors to our platform, to cost-effectively convert these visitors into revenue-generating customers and to continue to engage consumers, our business and financial performance could be harmed. </w:t>
      </w:r>
      <w:r>
        <w:rPr>
          <w:rFonts w:ascii="Times New Roman" w:hAnsi="Times New Roman"/>
          <w:color w:val="000000"/>
          <w:sz w:val="20"/>
        </w:rPr>
        <w:t xml:space="preserve">Our traffic and user engagement could be adversely affected by a number of factors including, but not limited to, inability to provide quality content, lack of inventory or supply in amounts or of sufficient quality to be attractive to our consumers, increasing use of metasearch engines which may impact the amount of traffic to our platform, declines or inefficiencies in traffic acquisition and reduced awareness of our brands. Certain of our competitors have advertising campaigns expressly designed to drive traffic directly to their websites, and these campaigns may negatively impact traffic to our platform. There can be no assurances that we will continue to provide content and products in a manner that meets rapidly changing demand. Any failure to obtain and manage content and products in a cost-effective manner that will engage consumers, or any failure to provide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content and products that are perceived as useful, reliable and trustworthy, could adversely affect user experiences and their repeat behavior, reduce traffic to our platform and negatively impact our business and financial performance.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internet search engines, metasearch engines and application marketplaces to drive traffic to our platform, certain providers of which offer products and services that compete directly with ours. If we are unable to drive traffic cost-effectively, traffic to our platform could decline and our business would be negatively affected.</w:t>
      </w:r>
      <w:r>
        <w:rPr>
          <w:rFonts w:ascii="Times New Roman" w:hAnsi="Times New Roman"/>
          <w:color w:val="000000"/>
          <w:sz w:val="20"/>
        </w:rPr>
        <w:t xml:space="preserve"> The number of consumers we attract to our platform is due in large part to how and where information from, and links to, our platform are displayed on search engine results pages, or SERPs, and search aggregators, or metasearch engines. The display, including rankings, of search results can be affected by a number of factors, many of which are not in our control. Search engines (including metasearch engines) frequently change the logic that determines the placement and display of the results of a user’s search, such that the purchased or algorithmic placement of links to our platform can be negatively affected. A search engine could alter its search algorithms or results causing our websites to place lower in search query results. For example, Google, a partner and significant source of traffic to our platform, frequently promotes its own competing products in its search results, which has negatively impacted placement of references to our company and our platform on the SERP. We believe that our Hotels and Other segment will continue to be impacted by these challenges and others, including AI overviews displacing top-ranked links, which can reduce click-through rates, and a broader shift towards non-traditional search platforms. If a major search engine changes its algorithms in a manner that negatively affects the search engine ranking of our websites or those of our travel partners, or if competitive dynamics impact the cost or effectiveness of search engine optimization (“SEO”) or search engine marketing (“SEM”) in a negative manner, our business and financial performance would be adversely affected. Furthermore, our failure to successfully manage our SEO and SEM strategies and/or other traffic acquisition strategies could result in a substantial decrease in traffic to our platform, as well as increased costs to the extent we replace free traffic with paid traffic.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Google’s online travel offerings have continued to grow rapidly by linking travel search services to its dominant search functionality through flight, hotel and alternative accommodation meta-search products. Our apps may receive unfavorable treatment compared to the promotion and placement of competing apps, such as the order in which they appear within marketplaces. In addition, the app stores continue to issue privacy enhancing policies including requirements on developers to provide enhanced descriptions regarding their data handling practices and enhanced permission requirements for in-app tracking. These policies may negatively impact the effectiveness of our data tracking capabilities. Similarly, if problems arise in our relationships with providers of application marketplaces, traffic to our platform and our user growth could be harmed. </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As we expand our experiences marketplace, we face increasing potential legal and financial liability for alleged safety incidents and service failures by third-party tour and activity operators, which could result in substantial costs, reputational harm, and regulatory penalties. </w:t>
      </w:r>
      <w:r>
        <w:rPr>
          <w:rFonts w:ascii="Times New Roman" w:hAnsi="Times New Roman"/>
          <w:color w:val="000000"/>
          <w:sz w:val="20"/>
        </w:rPr>
        <w:t>Our experiences-led strategy relies on connecting travelers with thousands of third-party tour operators, activity providers, and experience hosts globally. Unlike our hotel metasearch business where we simply refer users to booking sites, our experiences marketplace brings us closer to transactions through payment processing, creating enhanced exposure, despite contracts for the supply of experiences being concluded directly between travelers and suppliers. Many of the third-party operators trading via our platform are small enterprises and may have limited resources and/or insurance coverage that ultimately proves to be inadequate.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platform liability laws evolve, our insurance costs may increase or we may face uninsured exposure, reducing Experiences segment profitability or exiting certain markets or high-risk activity categories. Even where we successfully defend legal claims, safety incidents could harm our brand reputation or user trust, potentially driving travelers to competitors. If we cannot effectively manage platform liability risks through insurance, supplier vetting, or successfully defending claims, our experiences business growth may be constrained and our financial results materially adversely affected.</w:t>
      </w:r>
    </w:p>
    <w:p>
      <w:pPr>
        <w:pStyle w:val="TextBody"/>
        <w:bidi w:val="0"/>
        <w:spacing w:before="0" w:after="120"/>
        <w:jc w:val="left"/>
        <w:rPr>
          <w:rFonts w:ascii="Times New Roman" w:hAnsi="Times New Roman"/>
          <w:sz w:val="20"/>
        </w:rPr>
      </w:pPr>
      <w:r>
        <w:rPr>
          <w:rFonts w:ascii="Times New Roman" w:hAnsi="Times New Roman"/>
          <w:b/>
          <w:i/>
          <w:color w:val="000000"/>
          <w:sz w:val="20"/>
        </w:rPr>
        <w:t xml:space="preserve">We derive a substantial portion of our revenue from advertising and any significant reduction in spending by advertisers on our platform could harm our business. </w:t>
      </w:r>
      <w:r>
        <w:rPr>
          <w:rFonts w:ascii="Times New Roman" w:hAnsi="Times New Roman"/>
          <w:color w:val="000000"/>
          <w:sz w:val="20"/>
        </w:rPr>
        <w:t xml:space="preserve">Our ability to grow advertising revenue with our existing or new travel partners is dependent in large part on our ability to provide value to them relative to other alternatives. Our ability to provide value to our travel partners depends on a number of factors, including, but not limited to,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following: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increase or maintain user engagement;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increase or maintain the quantity and quality of ads shown to consumers;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development of technologies that can block the display of our ads or our ad measurement tools;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effectiveness of our advertising and the extent to which it generates sales leads, customers, bookings or financial results on a cost-effective basis, including our mobile transaction conversion rate;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competitiveness of our products, traffic quality, perception of our platform, including mobile applications, and availability and accuracy of analytics and measurement solutions to demonstrate our value;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Adverse government actions or legal developments relating to advertising, including limitations on our ability to deliver targeted advertising. </w:t>
      </w:r>
    </w:p>
    <w:p>
      <w:pPr>
        <w:pStyle w:val="TextBody"/>
        <w:bidi w:val="0"/>
        <w:jc w:val="left"/>
        <w:rPr>
          <w:rFonts w:ascii="Times New Roman" w:hAnsi="Times New Roman"/>
          <w:color w:val="000000"/>
          <w:sz w:val="20"/>
        </w:rPr>
      </w:pPr>
      <w:r>
        <w:rPr>
          <w:rFonts w:ascii="Times New Roman" w:hAnsi="Times New Roman"/>
          <w:color w:val="000000"/>
          <w:sz w:val="20"/>
        </w:rPr>
        <w:br/>
        <w:t xml:space="preserve">Any of these or other factors could result in a reduction in demand for our ads, which may reduce the prices we receive for our ads, or cause marketers to stop advertising with us altogether, any of which would negatively affect our revenue and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cost-per-click, or CPC, profit than on traffic volume, or are able to reduce CPC rates, this could have an adverse impact on our advertising revenue which would, in turn, have an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rely on a relatively small number of significant travel partners and any reduction in spending by or loss of these partners could seriously harm our business. </w:t>
      </w:r>
      <w:r>
        <w:rPr>
          <w:rFonts w:ascii="Times New Roman" w:hAnsi="Times New Roman"/>
          <w:color w:val="000000"/>
          <w:sz w:val="20"/>
        </w:rPr>
        <w:t>For the years ended December 31, 2025 and 2024, Booking (and its subsidiaries) accounted for 10% or more of our consolidated revenue, and together with Expedia (and its subsidiaries), our two most significant travel partners, accounted for approximately 21% and 22%, respectively, of our consolidated revenue, with nearly all of this revenue recorded within our Hotels and Other segment. If any of our significant travel partners were to cease or significantly curtail advertising on our platform, we could experience a rapid decline in our revenue over a relatively short period of time which would have a material impact on our business. Similarly, if we are unable to identify or expand our relationships with new or existing travel partners, it could harm our ability to attract and engage visitors on our platform.</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partners. </w:t>
      </w:r>
      <w:r>
        <w:rPr>
          <w:rFonts w:ascii="Times New Roman" w:hAnsi="Times New Roman"/>
          <w:color w:val="000000"/>
          <w:sz w:val="20"/>
        </w:rPr>
        <w:t xml:space="preserve">Our ability to maintain and protect our brands depends, in part, on our ability to maintain consumer trust in our products and services and in the quality, integrity, reliability and usefulness of the content and other information found on our platform. If consumers do not view the content on our platform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unfavorable publicity regarding, for example, our practices relating to privacy and data protection could adversely affect our reputation with our consumers and our partners. Such negative publicity also could have an adverse effect on the size, engagement, and loyalty of our user base and result in decreased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Weak economic conditions, including those that cause declines or disruptions in the travel industry or reduce consumer discretionary spending have, in the past, had a material adverse impact on the Company’s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business and financial performance and could have, in the future, a material adverse impact on our businesses, financial performance and the market price of our common stock. </w:t>
      </w:r>
      <w:r>
        <w:rPr>
          <w:rFonts w:ascii="Times New Roman" w:hAnsi="Times New Roman"/>
          <w:color w:val="000000"/>
          <w:sz w:val="20"/>
        </w:rPr>
        <w:t>Our business and financial performance are affected by the health of the worldwide travel industry, including macroeconomic conditions and events beyond our control. Events beyond our control, such as macroeconomic factors (including tightening of credit markets, elevated levels of inflation, changes in trade policy including the imposition of new or increased tariffs, and declines in consumer confidence), health concerns (including epidemics or pandemics), unusual or extreme weather or natural disasters, travel-related health and safety concerns, restrictions related to travel, trade or immigration policies, regional hostilities or instability (including wars and acts of terror), sources of political uncertainty, foreign policy changes, imposition of taxes or surcharges by regulatory authorities, significant increases in energy costs, labor unrest or travel-related accidents, can disrupt travel globally or otherwise result in declines in travel demand. For example, conflicts between Ukraine and Russia and Israel and Hamas have impacted travel to those regions and the surrounding regions.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Governments worldwide are increasingly implementing restrictive travel policies and enhanced border controls that could limit international mobility. These developments include, but are not limited to, the introduction of digital travel authorization systems and increased visa requirements, enhanced security screening and background check requirements, regional travel blocks and reciprocal entry restrictions, health-related entry requirements and screening protocols, and environmental impact restrictions. These restrictions could reduce travel demand, increase the complexity and cost of international travel, or make certain destinations inaccessible to travelers from specific regions.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travel and/or leisure products tend to decline or grow more slowly during economic downturns and times of inflation when consumers engage in less discretionary spending, are concerned about unemployment or economic weakness, have reduced access to credit or experience other concerns that reduce their ability or willingness to travel. In addition, the uncertainty of macroeconomic factors and their impact on consumer behavior makes it more difficult to forecast industry and consumer trends, which in turn has in the past and could in the future adversely affect our ability to effectively manage our business. Leisure travel, which accounts for a substantial majority of our current business, is particularly dependent on discretionary consumer spending levels. Economic downturn and adverse market conditions may also negatively impact our partners, our partners’ access to capital, cost of capital and ability to meet liquidity needs. These challenges faced in a prolonged economic downturn or deterioration in the travel industry could adversely impact our business, financial performance and share price. The extent and duration of such impacts remain largely uncertain and dependent on future developments that cannot be accurately predicted at this time. </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We operate in a competitive global environment and our failure to compete effectively could reduce our market share and harm our financial performance. </w:t>
      </w:r>
      <w:r>
        <w:rPr>
          <w:rFonts w:ascii="Times New Roman" w:hAnsi="Times New Roman"/>
          <w:color w:val="000000"/>
          <w:sz w:val="20"/>
        </w:rPr>
        <w:t xml:space="preserve">We compete with different types of companies in the various markets and geographies where we operate, including large and small companies in the travel and leisure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reservations and related services. Additionally, there are well-capitalized competitors in the experiences marketplace who have established superior mobile infrastructure, localized supplier relationships, and real-time operational technology in high-growth regions, particularly in Europe and Asia Pacific. These specialized experiences competitors have developed “last-mile” digital tools, such as real-time QR code redemption, instant traveler-operator messaging, and automated timeslot management, that facilitate bookings close to the trip or in-destination. Current and new competitors can launch new services at a relatively low cost. More specifically: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General OTAs, such as Expedia, Booking, Airbnb, Traveloka, Despegar, Trip.com, and their respective subsidiaries and operating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Experiences OTAs, such as GetYourGuide, Klook, and TUI Musement;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Hotel metasearch providers, such as trivago, Kayak and Skyscanner;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Online search, social media, travel influencers, and marketplace platforms for advertising spend, such as Google, Facebook, X, Pinterest, and Snap;</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Global and regional travel, experiences, and restaurant brands seeking to promote direct bookings;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Emerging online advertising businesses, such as ad-supported retail and entertainment platforms like Amazon, Spotify, and Walmart;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AI driven travel curators, such as Travel Plan AI, Aitinerary, Wonderplan, Roam Around and similar websites;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Traditional offline travel agencies;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Global and regional restaurant technology providers for reservation management and related services, such as OpenTable, Resy, and Tock. </w:t>
      </w:r>
    </w:p>
    <w:p>
      <w:pPr>
        <w:pStyle w:val="TextBody"/>
        <w:bidi w:val="0"/>
        <w:jc w:val="left"/>
        <w:rPr>
          <w:rFonts w:ascii="Times New Roman" w:hAnsi="Times New Roman"/>
          <w:color w:val="000000"/>
          <w:sz w:val="20"/>
        </w:rPr>
      </w:pPr>
      <w:r>
        <w:rPr>
          <w:rFonts w:ascii="Times New Roman" w:hAnsi="Times New Roman"/>
          <w:color w:val="000000"/>
          <w:sz w:val="20"/>
        </w:rPr>
        <w:br/>
        <w:t xml:space="preserve">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AI capabilities, which may provide them with a competitive advantage in travel. If specialized competitors leverage superior AI-driven personalization, semantic search, or more effective localized loyalty programs to capture tech-savvy Gen Z and Millennial travelers, our market share and revenue in the Experiences segment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pricing pressure, reduced customer traffic to our platform and reduced advertising by travel companies on our platform.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rely on information technology to operate our business and remain competitive, and any failure to adapt to technological developments or industry trends could harm our businesses. </w:t>
      </w:r>
      <w:r>
        <w:rPr>
          <w:rFonts w:ascii="Times New Roman" w:hAnsi="Times New Roman"/>
          <w:color w:val="000000"/>
          <w:sz w:val="20"/>
        </w:rPr>
        <w:t xml:space="preserve">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in which we operate are characterized by rapidly changing technology, evolving industry standards, frequent new service announcements and enhancements, and changing consumer demands and preferences. Our future success will also depend on our ability to adapt to emerging technologies such as tokenization; chatbot; new authentication technologies, such as biometrics, distributed ledger and blockchain technologies; new and emerging payment methods, such as Alipay, Paytm and WeChat Pay; AI; virtual and augmented reality; and cloud technologies. For example, we incorporate AI in certain of our operations. In July 2023, we launched an AI-powered travel itinerary generator which creates personalized travel itineraries using OpenAI’s generative AI technology. AI-generated content and recommendations may contain errors, biases, “hallucinations” (fabrication of facts), or inappropriate content that could damage our brand reputation and user trust. The use of AI presents risks and challenges because in some instances we may make use of third-party foundational models that have been pre-trained on data which may be insufficient, erroneous, stale, contain biased information, or infringe IP rights. Additionally, the output produced by these models may be inaccurate, misleading, discriminatory, offensive, illegal or otherwise harmful. Such risks are heightened if we or third-party developers or vendors lack sufficient responsible AI development or governance practices. These deficiencies and other failures of AI systems could subject us to competitive harm, regulatory action, legal liability, and brand or reputational harm. In addition, there is no guarantee that our itinerary generator or other AI-focused initiatives will be competitive or attract more consumers to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alternative or new devices and the emergence of niche competitors who may be able to optimize products, services or strategies for such platforms will require additional investments in technology. New developments in other areas could also make it easier for competitors to enter our markets due to lower up-front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costs. Many of our competitors, including major technology companies, are developing or deploying AI-powered travel planning and booking tools that could reduce reliance on traditional travel platforms. We may not be able to keep up with these rapid changes and our ability to integrate and develop new and evolving technologies will require increased financial and personnel investments that could have an adverse impact on our operations unless and until we achieve expected return on these investments. Our future success will depend on our ability to adapt to rapidly changing technologies, to adapt our services and platform to evolving industry standards and local preferences, and to continually innovate and improve the performance, features, and reliability of our services and online platforms in response to competitive service offerings and the evolving demands of the marketplace.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If we are unable to adapt to the evolving demands of our customers, we may not remain competitive, and our business and financial performance could suffer. </w:t>
      </w:r>
      <w:r>
        <w:rPr>
          <w:rFonts w:ascii="Times New Roman" w:hAnsi="Times New Roman"/>
          <w:color w:val="000000"/>
          <w:sz w:val="20"/>
        </w:rPr>
        <w:t xml:space="preserve">Our competitors are continually developing innovations in services and features. As a result, we are continually working to improve the user experience on our platform in order to engage our consumers and drive user traffic and conversion rates for our partners and provide our business partners with the tools they need to succeed.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customers want to use, existing customers may become dissatisfied and use competitors’ offerings and we may be unable to attract additional customers, which could adversely affect our business and financial performance.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Our dedication to making the consumer experience our highest priority may cause us to prioritize rapid innovation and consumer experience over short-term financial results. </w:t>
      </w:r>
      <w:r>
        <w:rPr>
          <w:rFonts w:ascii="Times New Roman" w:hAnsi="Times New Roman"/>
          <w:color w:val="000000"/>
          <w:sz w:val="20"/>
        </w:rPr>
        <w:t xml:space="preserve">We strive to create the best experience for our consumers. We believe that in doing so we will increase our traffic 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partners, and our business and financial performance could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are dependent upon the quality of traffic in our network to provide value to our partners, and any failure in our ability to deliver quality traffic and/or the metrics to demonstrate the value of the traffic could have a material and adverse impact on the value of our platform to our partners and adversely affect our revenue. </w:t>
      </w:r>
      <w:r>
        <w:rPr>
          <w:rFonts w:ascii="Times New Roman" w:hAnsi="Times New Roman"/>
          <w:color w:val="000000"/>
          <w:sz w:val="20"/>
        </w:rPr>
        <w:t xml:space="preserve">We use technology and processes to monitor the quality of the internet traffic that we deliver to our partners and have 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The proliferation of AI technologies could significantly impact the quality of traffic to our platform and we face increasing risks related to automated and artificial traffic generation. Such low-quality or invalid traffic may be detrimental to our relationships with partners and could adversely affect our advertising pricing and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rely on assumptions and estimates and data to calculate certain of our key metrics, and real or perceived inaccuracies in such metrics may harm our reputation and negatively affect our business. </w:t>
      </w:r>
      <w:r>
        <w:rPr>
          <w:rFonts w:ascii="Times New Roman" w:hAnsi="Times New Roman"/>
          <w:color w:val="000000"/>
          <w:sz w:val="20"/>
        </w:rPr>
        <w:t>Certain metrics are key to our business; as both the industry in which we operate and our businesses continue to evolve, so too might the metrics by which we evaluate our businesses. While the calculation of the metrics we use is based on what we believe to be reasonable estimates, our internal tools are not independently verified by a third-party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our platform. As such, the calculations of our unique users may not accurately reflect the number of people actually visiting our platform. If the internal tools we use to track these metrics under-count or over-count performance or contain algorithms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the performance of our key employees and our ability to attract, retain and engage senior management and a highly skilled workforce.</w:t>
      </w:r>
      <w:r>
        <w:rPr>
          <w:rFonts w:ascii="Times New Roman" w:hAnsi="Times New Roman"/>
          <w:color w:val="000000"/>
          <w:sz w:val="20"/>
        </w:rPr>
        <w:t xml:space="preserve"> We heavily rely on the continued service and performance of our management team, which provides leadership, contributes to the core areas of our business and helps us to efficiently execute on mission, vision and strategic initiatives. Over the last few years, we have made several changes to our senior leadership group. If we are unable to retain members of our senior management team, including our executive leadership, we may not be able to manage our business effectively and, as a result, our business and operating results could be harmed. If the senior management team fails to work together effectively and to execute our plans and strategies on a timely basis, then our business and future growth prospects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workforce reductions can result in the loss of institutional knowledge, dampen employee morale, and make it more difficult for us to attract and retain the highly skilled employees required to execute our strategy. The success of our operations and the quality of our services are also highly dependent on our ability to attract, retain and engage skilled personnel. For employees, we compete with companies that have far greater financial resources than we do as well as companies that promise short-term growth opportunities and/or other benefits. If we do not succeed in attracting a well-qualified workforce or retaining or motivating existing talent, our business would be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may not realize the expected benefits of our November 2025 restructuring plan, and the restructuring may disrupt our business. </w:t>
      </w:r>
      <w:r>
        <w:rPr>
          <w:rFonts w:ascii="Times New Roman" w:hAnsi="Times New Roman"/>
          <w:color w:val="000000"/>
          <w:sz w:val="20"/>
        </w:rPr>
        <w:t>In November 2025, we announced a restructuring plan designed to support the Company’s strategic priorities and initiatives. The plan includes a significant global workforce reduction and other targeted expense reductions. Many departing employees possess deep institutional knowledge of our complex technology systems, supplier relationships, and marketplace dynamics. The reduction in workforce could negatively impact our ability to respond to customer needs, maintain our internal controls, or execute on strategic initiatives. The public nature of the workforce reduction may impair our ability to recruit top talent, particularly in competitive markets for engineers and product managers. Competitors may target our remaining employees, leading to additional voluntary attrition beyond the planned reduction.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unforeseen costs or operational disruptions. If the restructuring results in significant disruption to our operations or unforeseen costs, our business and financial results could be materially adversely affected. Finally, there can be no assurance that any restructuring activities that we have undertaken or will undertake in the future will be completed or, in the event that they are completed, will achieve the operating efficiencies or other benefits that we may initially expect.</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The composition of our work force, in terms of geographic location, in person or remote and full-time employees or contingent workers, creates challenges and risks and failure to properly manage those risks could have a negative impact on our business. </w:t>
      </w:r>
      <w:r>
        <w:rPr>
          <w:rFonts w:ascii="Times New Roman" w:hAnsi="Times New Roman"/>
          <w:color w:val="000000"/>
          <w:sz w:val="20"/>
        </w:rPr>
        <w:t>In response to the COVID-19 pandemic, much of our work force began working remotely and continue to work remotely today. In addition, our work force has increasingly shifted outside the U.S. and to contingent workers versus full-time employees. Managing a remote and independent work force can give rise to cybersecurity, legal and regulatory issues and training and compliance issues, as well as create operational or other challenges, any of which could harm our business. For example, our workers are classified as either employees or non-employees (including as contingent workers or agency workers). Our employees in the U.S. are classified as either exempt from overtime or non-exempt (and therefore overtime eligible) and if we are found to have misclassified employees including as contingent workers, agency workers or contingent workers, agency workers or non-exempt employees as exempt, we could face penalties and have additional exposure under U.S. federal and state tax, workers’ compensation, unemployment benefits, labor, employment and tort laws, as well as similar international laws, including for prior periods, as well as potential liability for employee overtime and benefits and tax withholdings.</w:t>
      </w:r>
    </w:p>
    <w:p>
      <w:pPr>
        <w:pStyle w:val="TextBody"/>
        <w:bidi w:val="0"/>
        <w:spacing w:before="120" w:after="283"/>
        <w:jc w:val="left"/>
        <w:rPr>
          <w:rFonts w:ascii="Times New Roman" w:hAnsi="Times New Roman"/>
          <w:sz w:val="20"/>
        </w:rPr>
      </w:pPr>
      <w:r>
        <w:rPr>
          <w:rFonts w:ascii="Times New Roman" w:hAnsi="Times New Roman"/>
          <w:b/>
          <w:i/>
          <w:color w:val="000000"/>
          <w:sz w:val="20"/>
        </w:rPr>
        <w:t>Our growth and the execution of our strategic priorities may depend on mergers, acquisitions, dispositions, investments, and significant commercial arrangements, which could present new challenges and risks and disrupt our ongoing business.</w:t>
      </w:r>
      <w:r>
        <w:rPr>
          <w:rFonts w:ascii="Times New Roman" w:hAnsi="Times New Roman"/>
          <w:color w:val="000000"/>
          <w:sz w:val="20"/>
        </w:rPr>
        <w:t xml:space="preserve"> We have acquired, invested in and/or entered into significant commercial arrangements with a number of businesses in the past. As we pursue our strategic and financial priorities, including the realignment of our operating model to become an experiences-first company and explore strategic alternatives for shareholder value creation, our future growth may depend, in part, on future mergers, acquisitions, dispositions, investments, or commercial arrangements. Such endeavors have in the past and may in the future involve significant risks and uncertainties, including, but not limited to, the following: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to identify, pursue and fund these endeavors that may or may not be successful and may limit other potential uses of cash;</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Diversion of management’s attention or other resources from our existing business;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Difficulties encountered and/or expenses incurred in connection with the pursuit and execution of these transactions;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Assumption of debt and liabilities, including costs associated with litigation, cybersecurity risks, and other claims;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Limited management or operational control and heightened reputational risk with respect to minority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Entrance into markets in which we have no prior experience;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Amortization expenses related to acquired intangible assets and other adverse accounting consequences;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Adverse market reaction to the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value creation and innovation that may be possible within a reasonable period of time, if at all. We could lose the full amount of our investments; any impairment of our investments could have a material adverse effect on our financial results.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Related to Legal and Regulatory Matters</w:t>
      </w:r>
    </w:p>
    <w:p>
      <w:pPr>
        <w:pStyle w:val="TextBody"/>
        <w:bidi w:val="0"/>
        <w:spacing w:before="120" w:after="283"/>
        <w:jc w:val="left"/>
        <w:rPr>
          <w:rFonts w:ascii="Times New Roman" w:hAnsi="Times New Roman"/>
          <w:sz w:val="20"/>
        </w:rPr>
      </w:pPr>
      <w:r>
        <w:rPr>
          <w:rFonts w:ascii="Times New Roman" w:hAnsi="Times New Roman"/>
          <w:b/>
          <w:i/>
          <w:color w:val="000000"/>
          <w:sz w:val="20"/>
        </w:rPr>
        <w:t>Our experiences marketplace business require payment institution licenses in the UK and EU, and failure to maintain compliance with PSD2 and payment regulations could force us to suspend operations in these critical markets.</w:t>
      </w:r>
      <w:r>
        <w:rPr>
          <w:rFonts w:ascii="Times New Roman" w:hAnsi="Times New Roman"/>
          <w:color w:val="000000"/>
          <w:sz w:val="20"/>
        </w:rPr>
        <w:t xml:space="preserve"> Our marketplace activities in the United Kingdom and European Union (“EU”), require us to obtain and maintain payment institution licenses under the Payment Services Directive Two (“PSD2”) and related national regulations. PSD2 governs entities performing defined 'payment services' in EU member states and, following Brexit, in the UK. To maintain our payment licenses, we must comply with extensive regulatory requirements including minimum capital requirements and financial resource calculations, safeguarding customer funds according to prescribed methodologies, governance structures and internal controls meeting regulatory standards, consumer disclosure and transparency obligations, transaction reporting and audit requirements, timing and settlement rules for payment processing, anti-money laundering (“AML”) and counter-terrorist financing (“CTF”) controls, cybersecurity and operational resilience standards, and cooperation with regulatory examinations and requests.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obtained payment institution licenses in both the UK and EU. However, maintaining compliance is complex, costly, and subject to evolving regulatory interpretation. If regulators determine that we have violated PSD2 requirements, we could face fines, restrictions on our business activities, suspension or revocation of our payment licenses, or even criminal liability for senior management. Loss of payment licenses would force us to immediately cease processing payments for experiences in the UK and EU, which would effectively shut down our marketplace operations in these markets. Payment regulations continue to evolve, with new requirements being imposed related to Strong Customer Authentication, open banking, digital wallets, and cryptocurrency. We may need to make costly system changes or operational adjustments to maintain compliance as regulations evolve. We may also be deemed to be engaged in money transmission or similar regulated activities in other jurisdictions beyond the UK and EU, including U.S. states. If we are found to be operating without required licenses in these jurisdictions, we could face significant fines, penalties, and operational restrictions. Any suspension of our payment processing capabilities or licensing status in these markets would have a severe material adverse effect on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are subject to risks associated with processing payment transactions and failure to manage those risks may subject us to fines, penalties and/or additional costs and could have a negative impact on our business. </w:t>
      </w:r>
      <w:r>
        <w:rPr>
          <w:rFonts w:ascii="Times New Roman" w:hAnsi="Times New Roman"/>
          <w:color w:val="000000"/>
          <w:sz w:val="20"/>
        </w:rPr>
        <w:t>We accept payments from consumers and our business partners using a variety of methods, including credit, debit and invoicing. We rely on third parties to provide certain payment methods and payment processing services and our business could be disrupted if these companies become unwilling or unable to provide these services to us. We are subject to laws, regulations and compliance requirements relating to payments, international money transfers, privacy and information security and anti-money laundering, including obligations to implement enhanced authentication processes.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and we are subject to receivable holdbacks, which may increase over time and raise our operating costs and lower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we could become subject to regulatory enforcement or other proceedings in those states or other jurisdictions with money transmission, or other similar statutes or regulatory requirements, including an EU member state, related to the handling or moving of money, which could in turn have a significant impact on our business, even if we were to ultimately prevail in such proceedings. If we are ultimately deemed to be in violation of one or more money transmitter or other similar statutes or regulatory requirements related to the handling or moving of money in the U.S., the EU or other jurisdictions, we may be subject to the imposition of fines or restrictions on our business, our ability to offer some or all of our services in the relevant jurisdiction may be suspended, and we may be subject to civil or criminal liability and our business, results of operations and financial position could be materially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are a global company that operates in many different jurisdictions inside and outside the U.S. and these operations expose us to additional risks. </w:t>
      </w:r>
      <w:r>
        <w:rPr>
          <w:rFonts w:ascii="Times New Roman" w:hAnsi="Times New Roman"/>
          <w:color w:val="000000"/>
          <w:sz w:val="20"/>
        </w:rPr>
        <w:t xml:space="preserve">Many regions have different economic conditions, languages, currencies, legislation, regulatory environments, levels of political stability, and consumer expectations. We are subject to risks typical of global businesses, including, but not limited to,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Compliance with additional laws and regulations, including but not limited to, those regarding data privacy, AI, labor and employment, advertising, anti-competition and tax;</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in managing our human capital and operations due to distance, time zones, language, status as an independent contractor or agency worker versus employee and cultural differences;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Restrictions on repatriation of cash and on investments in operations;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Uncertainty regarding liability for services, content and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Increased risk and limits on enforceability of intellectual property rights;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Diminished ability to legally enforce contractual rights;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Currency exchange rate fluctuations;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Economic or political instability or laws involving economic or trade prohibitions, sanctions or travel restrictions;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Threatened or actual acts of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includes continued expansion in existing markets and potentially new markets. In addition to the risks mentioned above, international markets have strong local competitors with established brands and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marketplace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regularly a party to or subject to claims, lawsuits, government investigations, and other proceedings which may result in adverse outcomes and, regardless of the outcome, result in legal costs, diversion of management resources, injunctions or damage awards, and other negative results.</w:t>
      </w:r>
      <w:r>
        <w:rPr>
          <w:rFonts w:ascii="Times New Roman" w:hAnsi="Times New Roman"/>
          <w:color w:val="000000"/>
          <w:sz w:val="20"/>
        </w:rPr>
        <w:t xml:space="preserve"> It is possible that a resolution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one or more such proceedings could result in substantial damages, fines, penalties or outcomes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 Further, legal proceedings could affect our relationships with partners. While the Company maintains insurance coverage for certain types of claims, such insurance coverage may be insufficient to cover all losses or all types of claims that may arise and the defense of these actions has been, and will likely continue to be, both time consuming and expensive and the outcomes of these actions cannot be predicted with certainty.</w:t>
      </w:r>
    </w:p>
    <w:p>
      <w:pPr>
        <w:pStyle w:val="TextBody"/>
        <w:bidi w:val="0"/>
        <w:spacing w:before="120" w:after="283"/>
        <w:jc w:val="left"/>
        <w:rPr>
          <w:rFonts w:ascii="Times New Roman" w:hAnsi="Times New Roman"/>
          <w:sz w:val="20"/>
        </w:rPr>
      </w:pPr>
      <w:r>
        <w:rPr>
          <w:rFonts w:ascii="Times New Roman" w:hAnsi="Times New Roman"/>
          <w:b/>
          <w:i/>
          <w:color w:val="000000"/>
          <w:sz w:val="20"/>
        </w:rPr>
        <w:t>A failure to comply with existing or new laws, rules and regulations or changes to such laws, rules and regulations and other legal uncertainties may adversely affect our business or financial results.</w:t>
      </w:r>
      <w:r>
        <w:rPr>
          <w:rFonts w:ascii="Times New Roman" w:hAnsi="Times New Roman"/>
          <w:color w:val="000000"/>
          <w:sz w:val="20"/>
        </w:rPr>
        <w:t xml:space="preserve"> Our business and financial results could be adversely affected by unfavorable changes in, or interpretations of, existing laws, rules and regulations, or by new laws, rules and regulations applicable to us and our business, including those governing tourism, online content and digital services, online marketplaces and payment services, consumer protection (including rules specific to online platforms and intermediaries), data (including AI), privacy and security, intellectual property, and labor and employment. These laws and regulations continue to evolve, and there are, and will likely continue to be, an increasing number of laws and regulations pertaining to internet and online commerce and payments, cybersecurity and privacy, AI and algorithmic decision-making, and liability for information retrieved from or transmitted over the internet, online editorial and user-generated content, behavioral targeting and online advertising and liability for third-party activities. The use of AI in our operations also subjects us to evolving regulations and potential liability related to algorithmic decision-making, automated content generation, and AI governance requirements. Furthermore, as we undergo a realignment to an experiences-led marketplace, we face increased regulatory scrutiny regarding the safety and quality of the third-party operators listed on our platforms. In many jurisdictions, regulators are considering or have adopted “platform liability” laws that could hold marketplaces liable for the safety incidents or deficiencies of third-party service providers. Any such legislation could significantly increase our insurance costs and legal exposure. Likewise, the SEC, Department of Justice (“DOJ”) and Office of Foreign Assets Control (“OFAC”), as well as foreign regulatory authorities, have continued to increase the enforcement of economic sanctions, trade regulations, and anti-money laundering laws across industries. Operating in this dynamic regulatory environment requires significant management attention and financial resources. As regulations continue to evolve and regulatory oversight continues to increase, we cannot guarantee that our programs and policies will be deemed compliant by all applicable regulatory authorities. The failure of our businesses to comply with these laws and regulations could result in fines and/or proceedings against us by governmental agencies, regulatory authorities, courts and/or consumers, which, if material, could adversely affect our business and financial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promulgation of new laws, rules and regulations,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Unfavorable changes could limit our marketing methods and capabilities, decrease demand for our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 Regardless of election results in any particular state or country, it is unknown to what extent new legislation will be passed into law or pending or new regulatory proposals will be adopted, or the effect that such passage or adoption will have, positively or negatively,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face risks related to our intellectual property. </w:t>
      </w:r>
      <w:r>
        <w:rPr>
          <w:rFonts w:ascii="Times New Roman" w:hAnsi="Times New Roman"/>
          <w:color w:val="000000"/>
          <w:sz w:val="20"/>
        </w:rPr>
        <w:t xml:space="preserve">We rely on content, brands and technology, much of which is proprietary. We protect our content, brands and technology by, among other things, a combination of maintenance and enforcement of registered and unregistered intellectual property rights (e.g. trademarks, copyrights, domain names, and trade secrets), technological solutions and contractual protections. Even with these precautions, it may be possible for another party to copy or otherwise obtain and use our intellectual property, without authorization or to independently develop similar content, brands or technology. Any misappropriation or violation of our rights could have a material adverse effect on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intellectual property protection may not be available in every jurisdiction in which our platform or services are made available and policing unauthorized use of our intellectual property can be difficult and expensive. Therefore, in certain jurisdictions, we may be unable to adequately protect our intellectual property against unauthorized third-party copying or use. We cannot be sure that the steps we have taken will prevent misappropriation or infringement of our intellectual property. Furthermore, we may need to go to court or other tribunals in order to enforce our rights or the proprietary rights that we have lawfully obtained from others. These proceedings might result in substantial costs and diversion of resources and management attention, and we cannot accurately predict the likelihood of success in such proceedings. Our failure to protect our intellectual property in an effective manner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license some of the intellectual property displayed on our platform from third parties. As we continue to introduce new services that incorporate new intellectual property, we may be required or elect to license additional intellectual property. We cannot be sure that such licenses will be available on commercially reasonable terms, if at all. Our business and some of our products rely on or include software licensed from third parties, including open source licenses. In order to remain in compliance with the terms of our licenses, we monitor and manage our use of third-party software, including both proprietary and open source license terms to avoid subjecting our products and services to conditions we do not intend, such as the licensing or public disclosure of our intellectual property without compensation or on undesirable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in the ordinary course of our business, we have been subject to, and are currently subject to, legal proceedings and claims relating to third-party intellectual property rights, often related to user-generated content, and we expect that third parties will continue to assert intellectual property claims against us, particularly as we expand the complexity and scope of our platform and services. Successful intellectual property claims against us could result in significant monetary liability or prevent us from operating our business, or portions of our business, or require us to change business practices or develop non-infringing intellectual property, which could require significant effort and expense. In addition, resolution of claims may require us to obtain releases or licenses to use intellectual property assets belonging to third-parties, which may be expensive to procure, or possibly to cease using those assets altogether. Any of these events could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Greenhouse gas emissions and climate change may have long-term impacts on the travel industry that could affect our business.</w:t>
      </w:r>
      <w:r>
        <w:rPr>
          <w:rFonts w:ascii="Times New Roman" w:hAnsi="Times New Roman"/>
          <w:color w:val="000000"/>
          <w:sz w:val="20"/>
        </w:rPr>
        <w:t xml:space="preserve"> </w:t>
      </w:r>
      <w:r>
        <w:rPr>
          <w:rFonts w:ascii="Times New Roman" w:hAnsi="Times New Roman"/>
          <w:color w:val="222222"/>
          <w:sz w:val="20"/>
        </w:rPr>
        <w:t xml:space="preserve">The long-term effects of climate change on the global economy and our industry are unclear, but potential impacts include increased frequency and severity of extreme weather events, damage or reduced reliability of transportation and tourism infrastructure, and reduced visibility of certain destinations due to severe heat or cold, flooding, rising sea levels, or ocean acidification. These developments could alter travel demand patterns, increase operating costs for us and our partners, and negatively affect our revenue and profitability. </w:t>
      </w:r>
      <w:r>
        <w:rPr>
          <w:rFonts w:ascii="Times New Roman" w:hAnsi="Times New Roman"/>
          <w:color w:val="000000"/>
          <w:sz w:val="20"/>
        </w:rPr>
        <w:t>Shifts in consumer preferences and governmental policy developments may further disrupt travel behavior and adversely affect our business. Additionally, growing concerns about climate change have led, and are likely to continue to lead, to increased legal and regulatory measures aimed at reducing environmental impacts, such as regulations on greenhouse gas emissions, alternative energy policies, and various sustainability initiatives. If these laws or regulations become more stringent than those currently in place, we may face greater compliance obligations and higher associated costs. For instance, under the EU’s Corporate Sustainability Reporting Directive (“CSRD”), we will be required to provide specific disclosures in 2026 regarding our environmental impacts, risks, and opportunities for the year 2025, which may necessitate changes to our current methods for collecting environmental-related data. Moreover, as environmental, social, and governance-related regulations continue to expand and become more complex at the global level, we may need to adjust our business operations and supply chain management practices to remain compliant, which could have a material adverse effect on our business, financial condition, or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Increased focus on environmental, social, and governance ("ESG") matters and our inability to meet expectations with respect to ESG may have an adverse impact on our reputation, employee retention and business. </w:t>
      </w:r>
      <w:r>
        <w:rPr>
          <w:rFonts w:ascii="Times New Roman" w:hAnsi="Times New Roman"/>
          <w:color w:val="000000"/>
          <w:sz w:val="20"/>
        </w:rPr>
        <w:t xml:space="preserve">Certain institutional, individual, and other investors, consumers, employees and other stakeholders consider ESG practices when making investment and business decisions and may choose not to invest in or partner with us if they believe our policies and actions relating to ESG are inadequate. At the same time, organizations implementing ESG programs may face pushback from ESG opponents, anti-ESG legislation or regulation, and negative public reactions, any of which could impact our standing and financial performance. As ESG frameworks and reporting standards continue to develop, evolve and diverge across jurisdictions, we may incur additional costs and devote significant management time to ESG monitoring, data collection, and reporting. Our efforts may not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all stakeholders and could expose us to reputational harm, private litigation, or stockholder actions, and could negatively affect our ability to attract or retain employees, customers, and investors.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Information Security, Cybersecurity and Data Privacy</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Our processing of personal information and other data subjects us to risks and laws and regulations and could give rise to cyberattacks and other risks, including damage to our reputation and value of our brands. </w:t>
      </w:r>
      <w:r>
        <w:rPr>
          <w:rFonts w:ascii="Times New Roman" w:hAnsi="Times New Roman"/>
          <w:color w:val="000000"/>
          <w:sz w:val="20"/>
        </w:rPr>
        <w:t>Respecting user privacy and protecting personal information is essential to maintaining consumer, partner and service provider confidence in our services and brands. We are subject to a variety of laws in the U.S. and abroad regarding privacy and the processing and protection of personal information, the scope of which are changing, subject to differing interpretations, and may be inconsistent between countries or conflict with other existing laws. Comprehensive and varying state and international privacy laws would increase the complexity and cost of our compliance efforts and may heighten our exposure to enforcement actions and other liability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these rapidly evolving compliance and operational requirements impose significant costs, which are likely to increase over time, such as costs related to organizational changes, implementing additional protection technologies, training the workforce and engaging consultants and legal advisors. In addition, such requirements may obligate us to modify our data processing practices and policies, utilize management’s time and/or divert resources from other initiatives and projects. Implementing and complying with these laws and regulations may be more costly or take longer than we anticipate, or could otherwise affect our operations. Any failure or perceived failure by us to comply with our data, privacy and information security policies, privacy-related obligations to consumers or other third parties, or privacy-related legal obligations, may result in fines, litigation or governmental enforcement actions that could harm our reputation and cause our consumers and partners to lose trust in us, any of which could have an adverse effect on our business, brands, market share and financial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System security issues, data protection breaches, cyberattacks and system outage issues could disrupt our operations or services provided to our consumers, and any such disruption could damage our reputation and adversely affect our business, financial results and share price.</w:t>
      </w:r>
      <w:r>
        <w:rPr>
          <w:rFonts w:ascii="Times New Roman" w:hAnsi="Times New Roman"/>
          <w:color w:val="000000"/>
          <w:sz w:val="20"/>
        </w:rPr>
        <w:t xml:space="preserve"> Our reputation and ability to attract, retain and service our consumers and partners is dependent upon the reliable performance and security of our computer systems and those of third parties we utilize in our operations. Significant security issues, data breaches, cyberattacks and outages, interruptions or delays, in our systems or third-party systems upon which we rely, could impair our ability to display content or process transactions and significantly harm our business. Breaches of our security measures and those of our partners or the accidental loss, inadvertent disclosure or unapproved dissemination of proprietary information or personal, sensitive or confidential data about us, our consumers or our partners, could expose us, our consumers and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 party partners and vendors are at constant risk of cyber-attacks or cyber intrusions via viruses, worms, break-ins, malware, ransomware, phishing attacks, hacking, denial-of-service attacks or other attacks and similar disruptions from the unauthorized use of or access to computer systems (including from internal and external sources) that attack our products or otherwise exploit any vulnerabilities in our systems or those of our third party partners and vendors, or attempt to fraudulently induce our workforce, consumers, third party partners and vendors or others to disclose passwords or other sensitive information or unwittingly provide access to our systems or data. Our increased use of AI products may create new attack methods for adversaries. These types of incidents continue to be prevalent and pervasive across industries, including in our industry, and such attacks on our systems have occurred in the past and are expected to occur in the future. In addition, we expect the amount and sophistication of the perpetrators of these attacks to continue to expand, which could include nation-state actors. Any such incident could lead to interruptions, delays or website outages, causing loss of critical data or the unauthorized disclosure or use of personally identifiable or other confidential information. In addition, sophisticated hardware and operating system software and applications that we produce or procure from third parties may contain defects in design or manufacture, including “bugs” and other problems that could unexpectedly interfere with the operation of the system. We have in the past and may in the future need to expend significant resources to protect against security breaches or to investigate and address problems caused by cyber or other security problems. There are no assurances that our programs and actions taken to protect against security breaches or to investigate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problems related to cyber or other security problems will be sufficient to prevent or limit the impact of any cyber intrusion or similar security incident or attack. Failure to adequately protect against incidents, attacks or intrusions, whether for our own systems or systems of vendors, could expose us to security breaches that could have an adverse impact on our financial performance. Our business policies and internal security controls may not keep pace as new threats and regulations emerge in jurisdictions worldwide.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of our business is conducted with third-party partners and vendors. A security breach at such a third-party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and client base or engagement levels. </w:t>
      </w:r>
    </w:p>
    <w:p>
      <w:pPr>
        <w:pStyle w:val="TextBody"/>
        <w:bidi w:val="0"/>
        <w:jc w:val="left"/>
        <w:rPr>
          <w:rFonts w:ascii="Times New Roman" w:hAnsi="Times New Roman"/>
          <w:color w:val="000000"/>
          <w:sz w:val="20"/>
        </w:rPr>
      </w:pPr>
      <w:r>
        <w:rPr>
          <w:rFonts w:ascii="Times New Roman" w:hAnsi="Times New Roman"/>
          <w:color w:val="000000"/>
          <w:sz w:val="20"/>
        </w:rPr>
        <w:t xml:space="preserve">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or the perceived threat of a breach or perceived breach could result in interruptions in service, negative publicity, damage to reputation, cause our users, suppliers and/or partners to cease doing business with us or do business with us less frequently, expose us to risk of loss and possible liability due to lawsuits, enforcement actions, investigations, regulatory penalties and sanctions. As this focus and attention on privacy and data use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 </w:t>
        <w:br/>
        <w:t> </w:t>
      </w:r>
    </w:p>
    <w:p>
      <w:pPr>
        <w:pStyle w:val="TextBody"/>
        <w:bidi w:val="0"/>
        <w:jc w:val="left"/>
        <w:rPr>
          <w:rFonts w:ascii="Times New Roman" w:hAnsi="Times New Roman"/>
          <w:sz w:val="20"/>
        </w:rPr>
      </w:pPr>
      <w:r>
        <w:rPr>
          <w:rFonts w:ascii="Times New Roman" w:hAnsi="Times New Roman"/>
          <w:b/>
          <w:i/>
          <w:color w:val="222222"/>
          <w:sz w:val="20"/>
        </w:rPr>
        <w:t>We rely upon Amazon Web Services (</w:t>
      </w:r>
      <w:r>
        <w:rPr>
          <w:rFonts w:ascii="Times New Roman" w:hAnsi="Times New Roman"/>
          <w:color w:val="000000"/>
          <w:sz w:val="20"/>
        </w:rPr>
        <w:t>“</w:t>
      </w:r>
      <w:r>
        <w:rPr>
          <w:rFonts w:ascii="Times New Roman" w:hAnsi="Times New Roman"/>
          <w:b/>
          <w:i/>
          <w:color w:val="222222"/>
          <w:sz w:val="20"/>
        </w:rPr>
        <w:t>AWS</w:t>
      </w:r>
      <w:r>
        <w:rPr>
          <w:rFonts w:ascii="Times New Roman" w:hAnsi="Times New Roman"/>
          <w:color w:val="000000"/>
          <w:sz w:val="20"/>
        </w:rPr>
        <w:t>”</w:t>
      </w:r>
      <w:r>
        <w:rPr>
          <w:rFonts w:ascii="Times New Roman" w:hAnsi="Times New Roman"/>
          <w:b/>
          <w:i/>
          <w:color w:val="000000"/>
          <w:sz w:val="20"/>
        </w:rPr>
        <w:t>)</w:t>
      </w:r>
      <w:r>
        <w:rPr>
          <w:rFonts w:ascii="Times New Roman" w:hAnsi="Times New Roman"/>
          <w:color w:val="222222"/>
          <w:sz w:val="20"/>
        </w:rPr>
        <w:t xml:space="preserve"> </w:t>
      </w:r>
      <w:r>
        <w:rPr>
          <w:rFonts w:ascii="Times New Roman" w:hAnsi="Times New Roman"/>
          <w:b/>
          <w:i/>
          <w:color w:val="222222"/>
          <w:sz w:val="20"/>
        </w:rPr>
        <w:t xml:space="preserve">to operate certain aspects of our business and any disruption, interruptions, delays in service or inability to increase capacity, including internationally, of the AWS operation could impair the use or functionality of our websites, harm our business and subject us to liability. </w:t>
      </w:r>
      <w:r>
        <w:rPr>
          <w:rFonts w:ascii="Times New Roman" w:hAnsi="Times New Roman"/>
          <w:color w:val="222222"/>
          <w:sz w:val="20"/>
        </w:rPr>
        <w:t>AWS provides a distributed computing infrastructure platform for business operations, or what is commonly referred to as a “cloud” computing service. Our systems infrastructure for our branded websites is in a “hybrid-cloud” configuration, which is partially hosted by AWS. Any outage or failure of such data centers could negatively affect the branded websites connectivity and performance. Any damage to, or failure of, our systems infrastructure for the branded websites, or those of our third-party providers, could interrupt or hinder the use or functionality of our services. If the security of the AWS infrastructure is compromised or believed to have been compromised, our business, results of operations and financial condition could be adversely affected. It is possible that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 Because we cannot easily transition our AWS operations to another cloud provider, any disruption, interruptions, delays in service or inability to increase capacity, including internationally, of the AWS operation could adversely affect our business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Evolving regulations, guidance, policies and practices on the use of “pixels,” “cookies” and similar tracking technologies could negatively impact the way we do business. </w:t>
      </w:r>
      <w:r>
        <w:rPr>
          <w:rFonts w:ascii="Times New Roman" w:hAnsi="Times New Roman"/>
          <w:color w:val="000000"/>
          <w:sz w:val="20"/>
        </w:rPr>
        <w:t xml:space="preserve">Pixels, cookies and other similar technologies are common tools used by websites and apps, including ours, to store or gather information, improve site security, improve and personalize the customer experience, market to consumers and increase conversion. Many states and countries have adopted data privacy laws and regulations governing the use of cookies and other similar tracking technologies by websites and app developers. Related, we are seeing App store providers issue policies governing developers’ use and disclosure of software development kits and similar tracking technologies. Recent industry trends have included litigation by individual and class action plaintiffs focused on the use of such tracking technologies pursuant to laws on cookie usage as well as wiretapping, surveillance and alleged invasions of privacy. Such regulations and litigation trends could limit our ability to serve certain customers in the manner we currently do, including with respect to certain online activities, including advertising, retargeting or personalized advertising, impair our ability to improve and optimize performance on our platform, negatively affect a consumer's experience using our platform, which, in turn, could negatively impact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Equally, privacy has been the impetus behind a move towards a cookie-less online ecosystem which poses a potential risk to our data practices and online advertising strategy.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Risks Related to Financial Matters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We may fail to meet our publicly announced guidance or other expectations about our business and future operating results, which could cause our stock price to decline. </w:t>
      </w:r>
      <w:r>
        <w:rPr>
          <w:rFonts w:ascii="Times New Roman" w:hAnsi="Times New Roman"/>
          <w:color w:val="000000"/>
          <w:sz w:val="20"/>
        </w:rPr>
        <w:t>From time to time, 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Guidance is necessarily speculative in nature, and some or all of the assumptions underlying the guidance furnished by us may not materialize or may vary significantly from actual outcomes.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before="0" w:after="120"/>
        <w:jc w:val="left"/>
        <w:rPr>
          <w:rFonts w:ascii="Times New Roman" w:hAnsi="Times New Roman"/>
          <w:sz w:val="20"/>
        </w:rPr>
      </w:pPr>
      <w:r>
        <w:rPr>
          <w:rFonts w:ascii="Times New Roman" w:hAnsi="Times New Roman"/>
          <w:b/>
          <w:i/>
          <w:color w:val="000000"/>
          <w:sz w:val="20"/>
        </w:rPr>
        <w:t>Our financial results are difficult to forecast; they have fluctuated in the past and will likely fluctuate in the future.</w:t>
      </w:r>
      <w:r>
        <w:rPr>
          <w:rFonts w:ascii="Times New Roman" w:hAnsi="Times New Roman"/>
          <w:color w:val="000000"/>
          <w:sz w:val="20"/>
        </w:rPr>
        <w:t xml:space="preserve"> Our financial results in any given quarter can be influenced by numerous factors, many of which we are unable to predict or are outside of our control,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ability to maintain and grow our consumer base and to increase user engagement;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Increases in marketing, sales and other expenses that we will incur to grow and expand our operations and to remain competitive;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Fluctuations in the marketing spend of our travel partners due to seasonality, global or regional events or other factors;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User behavior or product changes that may reduce traffic to features or products that we successfully monetize;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System failure or outages, which would prevent us from serving ads for any period of time;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Breaches of security or privacy and the costs associated with any such breaches and remediation;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Fees paid to third parties for content or promotion of our products and services;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Adverse litigation judgments, settlement or other litigation related costs;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the legislative or regulatory environment or engagement by regulators;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tax laws, which may significantly affect our tax rates and taxes due;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Tax obligations that may arise from resolutions of tax examinations that may materially differ from the amounts we have anticipated;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U.S. GAAP;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global business and macroeconomic conditions.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you should not rely upon our quarterly financial results as indicators of future performance.</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If we are unable to successfully maintain effective internal control over financial reporting, investors may lose confidence in our reported financial information and our business and our share price may be adversely impacted. </w:t>
      </w:r>
      <w:r>
        <w:rPr>
          <w:rFonts w:ascii="Times New Roman" w:hAnsi="Times New Roman"/>
          <w:color w:val="000000"/>
          <w:sz w:val="20"/>
        </w:rPr>
        <w:t xml:space="preserve">As a public company, we are required to maintain internal control over 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The Nasdaq or any other securities exchange on which we are then listed.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have indebtedness which could adversely affect our business and financial condition. </w:t>
      </w:r>
      <w:r>
        <w:rPr>
          <w:rFonts w:ascii="Times New Roman" w:hAnsi="Times New Roman"/>
          <w:color w:val="000000"/>
          <w:sz w:val="20"/>
        </w:rPr>
        <w:t xml:space="preserve">With respect to the 2026 Senior Notes and Term Loan B Facility (each defined later in this Annual Report), we are subject to risks relating to our existing or potential indebtedness that include: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Requirement to dedicate a portion of our cash flow to principal and interest payments, thereby reducing the availability of cash to fund working capital, capital expenditures, acquisitions and investments and other general corporate purposes;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Difficulties to optimally capitalize and manage the cash flow for our businesses;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Possible competitive disadvantage compared to our competitors that have less debt;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Limitations on our ability to borrow additional funds on acceptable terms or at all;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Exposure to increased interest rates to the extent our outstanding debt is subject to variable rates of interest. </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Failure to comply with the various covenants contained in our Credit Agreement under the Credit Facility (each defined later in this Annual Report) could have a material adverse effect on our business. </w:t>
      </w:r>
      <w:r>
        <w:rPr>
          <w:rFonts w:ascii="Times New Roman" w:hAnsi="Times New Roman"/>
          <w:color w:val="000000"/>
          <w:sz w:val="20"/>
        </w:rPr>
        <w:t xml:space="preserve">The various covenants contained in the Credit Agreement include those that limit our ability to, among other things: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Incur indebtedness;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Grant additional liens;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Make certain investments, acquisitions, dispositions, distributions and other payments;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Pay dividends on, redeem or repurchase our capital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Effect share repurchases;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Effect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Enter into secured financing arrangements;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Enter into sale and leaseback transactions;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Enter into unrelated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covenants may limit our ability to optimally operate our business. The Credit Facility contains customary events of default and modifies the cross-default provision so that the Term Loan B Facility includes a customary cross-acceleration event of default with respect to one another. If an event of default occurs and is continuing, then, among other things, the lenders under the Credit Facility and/or the Term Loan B Facility, as applicable, may declare any outstanding Credit Facility and/or Term Loan B Facility obligations, as applicable, to be immediately due and payable and exercise their rights and remedies against the collateral.</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are subject to risks relating to our 2026 Senior Notes. </w:t>
      </w:r>
      <w:r>
        <w:rPr>
          <w:rFonts w:ascii="Times New Roman" w:hAnsi="Times New Roman"/>
          <w:color w:val="000000"/>
          <w:sz w:val="20"/>
        </w:rPr>
        <w:t>If any of the conditions to the conversion of the 2026 Senior Notes is satisfied, then we may be required under applicable accounting standards to reclassify the liability carrying value of the 2026 Senior Notes as a current, rather than a long-term, liability, thereby materially reducing our reported working capital. This reclassification could be required even if no noteholders exchange their 2026 Senior Notes. Holders of our 2026 Senior Notes may convert the 2026 Senior Notes after the occurrence of certain dates or events. Settlement of the 2026 Senior Notes could adversely affect our liquidity. In addition, any failure to comply with the restrictions of our Credit Facility, Term Loan B Facility, or our 2026 Senior Notes may result in an event of default under the agreements governing such debt instruments and such default may allow the creditors to accelerate the debt incurred thereunder.</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are subject to risks relating to the Capped Calls. </w:t>
      </w:r>
      <w:r>
        <w:rPr>
          <w:rFonts w:ascii="Times New Roman" w:hAnsi="Times New Roman"/>
          <w:color w:val="000000"/>
          <w:sz w:val="20"/>
        </w:rPr>
        <w:t>In connection with the issuance of the 2026 Senior Notes, we entered into privately negotiated capped call transactions (the “Capped Calls”) to reduce potential dilution to our common stock and/or offset cash payments we must make in excess of the principal amount, in each case, upon any conversion of the 2026 Senior Notes, with such offset subject to a cap. We are subject to the risk that one or more of the hedge counterparties may default under the Capped Calls.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have future capital needs and may not be able to obtain additional financing on acceptable terms.</w:t>
      </w:r>
      <w:r>
        <w:rPr>
          <w:rFonts w:ascii="Times New Roman" w:hAnsi="Times New Roman"/>
          <w:color w:val="000000"/>
          <w:sz w:val="20"/>
        </w:rPr>
        <w:t xml:space="preserve"> Pursuant to the Credit Facility, we agreed to pledge substantially all of our assets, including the equity interests of our subsidiaries. This agreement also includes restrictive covenants that may limit our ability to secure additional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Risks Related to Tax Matters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Our effective income tax rate is impacted by a number of factors that could have a material impact on our financial results and could increase the volatility of those results. </w:t>
      </w:r>
      <w:r>
        <w:rPr>
          <w:rFonts w:ascii="Times New Roman" w:hAnsi="Times New Roman"/>
          <w:color w:val="000000"/>
          <w:sz w:val="20"/>
        </w:rPr>
        <w:t xml:space="preserve">Due to the global nature of our business, we are subject to income taxes in the U.S. and other foreign jurisdictions. In the event 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 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 </w:t>
      </w:r>
    </w:p>
    <w:p>
      <w:pPr>
        <w:pStyle w:val="TextBody"/>
        <w:bidi w:val="0"/>
        <w:spacing w:before="120" w:after="283"/>
        <w:jc w:val="left"/>
        <w:rPr>
          <w:rFonts w:ascii="Times New Roman" w:hAnsi="Times New Roman"/>
          <w:sz w:val="20"/>
        </w:rPr>
      </w:pPr>
      <w:r>
        <w:rPr>
          <w:rFonts w:ascii="Times New Roman" w:hAnsi="Times New Roman"/>
          <w:b/>
          <w:i/>
          <w:color w:val="000000"/>
          <w:sz w:val="20"/>
        </w:rPr>
        <w:t>Application of U.S. state and local or international tax laws, changes in tax laws or tax rulings, or the examination of our tax positions, could materially affect our financial position and results of operations.</w:t>
      </w:r>
      <w:r>
        <w:rPr>
          <w:rFonts w:ascii="Times New Roman" w:hAnsi="Times New Roman"/>
          <w:color w:val="000000"/>
          <w:sz w:val="20"/>
        </w:rPr>
        <w:t xml:space="preserve"> As an international business, we are subject to income taxes and non-income-based taxes in the U.S. and various other 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impact on our financial results, as well as legislation to impose new forms of gross receipts taxes, such as digital services taxes imposed on digital advertising and online marketplace platforms/services. If consensus is reached on Pillar One, unilateral digital services taxes should be repealed, however until such time we continue to be subject to these taxes. We are currently subject to unilateral digital services taxes, and during the years ended December 31, 2025, 2024 and 2023, we recorded $16 million, $18 million and $18 million, respectively, of digital service taxes to cost of sales on our consolidated statements of operations. While the future of the global tax regulatory landscape remains uncertain, we continue to monitor the OECD’s and members ongoing discussions to determine the current and potential impact on our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routinely under audit by federal, state and foreign taxing authorities. The ultimate outcome of these examinations (including the Internal Revenue Service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Changes in the tax treatment of companies engaged in e-commerce may adversely affect the commercial use of our platform and our financial results. </w:t>
      </w:r>
      <w:r>
        <w:rPr>
          <w:rFonts w:ascii="Times New Roman" w:hAnsi="Times New Roman"/>
          <w:color w:val="000000"/>
          <w:sz w:val="20"/>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An increasing number of states have considered or adopted laws that attempt to impose tax collection obligations on out-of-state companies. Additionally, the U.S. Supreme Court ruled in South Dakota v. Wayfair Inc. that remote sellers are not required to collect state and local sales taxes. In response to Wayfair or otherwise, state or local governments have adopted and may continue to adopt, or begin to enforce, laws requiring us to calculate, collect and remit taxes on sales in their jurisdictions. Also, as described in more detail above, certain U.S. states and countries in which we do business have enacted or proposed digital services tax initiatives. In addition, we are subject to taxes in foreign jurisdictions, such as value-added tax and goods and services tax, in connection with certain foreign sales transactions.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 successful assertion by one or more tax authorities requiring us to collect taxes where we presently do not do so, or to collect more taxes in a jurisdiction in which we currently do collect some taxes, could result in substantial tax liabilities, including taxes on past sales, as well as penalties and interest that we otherwise would have not accounted for in our financial statements. Any of these events could have a material adverse effect on our business, financial results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Taxing authorities have in the past and may successfully in the future assert that we should have collected or in the future should collect sales and use, occupancy, VAT or similar taxes, and we could be subject to liability with respect to past or future sales, which could adversely affect our operating results. </w:t>
      </w:r>
      <w:r>
        <w:rPr>
          <w:rFonts w:ascii="Times New Roman" w:hAnsi="Times New Roman"/>
          <w:color w:val="000000"/>
          <w:sz w:val="20"/>
        </w:rPr>
        <w:t xml:space="preserve">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face risks associated with fluctuations in foreign currency exchange rates. </w:t>
      </w:r>
      <w:r>
        <w:rPr>
          <w:rFonts w:ascii="Times New Roman" w:hAnsi="Times New Roman"/>
          <w:color w:val="000000"/>
          <w:sz w:val="20"/>
        </w:rPr>
        <w:t>We conduct business in certain international markets, largely in Europe, including the U.K., and also in countries such as Singapore and Australia. Some of our subsidiaries maintain their accounting records in their respective local currencies other than the U.S. dollar. As a result, we face exposure to movements in foreign currency 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have in the past and could in the future adversely affect our revenue growth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mitigate the impact of changes in foreign currency rates that occur during the term of the related contract period and carry risks of counter-party failure. There can be no assurance that our forward exchange contracts will have their intended effects. </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Risks Related to Ownership of our Common Stock</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Following the completion of our merger with LTRIP, we are more vulnerable to shareholder activism, proxy contests, and pressure for strategic alternatives that could disrupt our business and divert management resources. </w:t>
      </w:r>
      <w:r>
        <w:rPr>
          <w:rFonts w:ascii="Times New Roman" w:hAnsi="Times New Roman"/>
          <w:color w:val="000000"/>
          <w:sz w:val="20"/>
        </w:rPr>
        <w:t xml:space="preserve">With the closing of the Merger with LTRIP, we no longer have a controlling stockholder. Consummation of this transaction provided greater strategic flexibility, it also eliminated the voting control and strategic stability that our prior structure provided. We are now more vulnerable to activist shareholders who may seek to influence our strategic direction, board composition, capital allocation, or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Responding to activist shareholders, including proxy contests, public campaigns, or other actions, could divert significant time and attention of our Board and management team from executing our business strategy, generate substantial legal, advisory, and public relations costs, create uncertainty among our employees, suppliers, and business partners, result in the departure of key executives or board members, force strategic decisions that prioritize short-term shareholder returns over long-term value creation, lead to unexpected changes in our business strategy, capital structure, or leadership, limit our ability to pursue acquisitions, investments, or other strategic initiatives, and result in significant stock price volatility. Furthermore, the perception that we are vulnerable to activist campaigns or a potential acquisition could make it more difficult to attract and retain key employees, negotiate favorable terms with suppliers and partners, or execute long-term strategic initiatives. Even if we successfully defend against activist proposals, the distraction and costs associated with these activities could materially adversely affect our business and financial performance.</w:t>
      </w:r>
    </w:p>
    <w:p>
      <w:pPr>
        <w:pStyle w:val="TextBody"/>
        <w:bidi w:val="0"/>
        <w:spacing w:before="0" w:after="120"/>
        <w:jc w:val="left"/>
        <w:rPr>
          <w:rFonts w:ascii="Times New Roman" w:hAnsi="Times New Roman"/>
          <w:sz w:val="20"/>
        </w:rPr>
      </w:pPr>
      <w:r>
        <w:rPr>
          <w:rFonts w:ascii="Times New Roman" w:hAnsi="Times New Roman"/>
          <w:b/>
          <w:i/>
          <w:color w:val="000000"/>
          <w:sz w:val="20"/>
        </w:rPr>
        <w:t>The market price and trading volume of our common stock has experienced, and could continue to experience in the future, substantial volatility.</w:t>
      </w:r>
      <w:r>
        <w:rPr>
          <w:rFonts w:ascii="Times New Roman" w:hAnsi="Times New Roman"/>
          <w:color w:val="000000"/>
          <w:sz w:val="20"/>
        </w:rPr>
        <w:t xml:space="preserve"> The market price of our common stock is affected by a number of factors, including: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Quarterly variations in our or our competitors’ results of operations;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Changes in earnings estimates or recommendations by securities analysts;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Failure to meet market expectations;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announcement of new products or product enhancements by us or our competitors;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Repurchases of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Developments in our industry, including changes in governmental regulations;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market conditions and other factors, such as macroeconomic conditions and geopolitical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 </w:t>
      </w:r>
    </w:p>
    <w:p>
      <w:pPr>
        <w:pStyle w:val="TextBody"/>
        <w:bidi w:val="0"/>
        <w:spacing w:before="120" w:after="283"/>
        <w:jc w:val="left"/>
        <w:rPr>
          <w:rFonts w:ascii="Times New Roman" w:hAnsi="Times New Roman"/>
          <w:sz w:val="20"/>
        </w:rPr>
      </w:pPr>
      <w:r>
        <w:rPr>
          <w:rFonts w:ascii="Times New Roman" w:hAnsi="Times New Roman"/>
          <w:b/>
          <w:i/>
          <w:color w:val="000000"/>
          <w:sz w:val="20"/>
        </w:rPr>
        <w:t>Our redomestication from Delaware to Nevada may significantly reduce shareholders' ability to bring claims against our directors and officers for alleged breaches of fiduciary duty.</w:t>
      </w:r>
      <w:r>
        <w:rPr>
          <w:rFonts w:ascii="Times New Roman" w:hAnsi="Times New Roman"/>
          <w:color w:val="000000"/>
          <w:sz w:val="20"/>
        </w:rPr>
        <w:t xml:space="preserve"> Under Nevada corporate law, and pursuant to our new articles of incorporation and bylaws, directors and officers generally enjoy broader protections from personal liability and a narrower scope of fiduciary duties than under Delaware law, which can make it more difficult for stockholders to initiate or successfully maintain derivative or other fiduciary duty litigation. As a result, shareholders may have fewer avenues to seek monetary damages or other remedies for alleged misconduct.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articles of incorporation provide that the Eighth Judicial District Court of the State of Nevada shall be the exclusive forum for certain actions brought by our shareholders, which may limit shareholders' ability to obtain a judicial forum they consider more favorable for disputes with us or our directors, officers, or employees. This exclusive forum provision may discourage lawsuits against us and our directors, officers, employees and agents, and stockholders who do pursue claims in the Nevada Eighth Judicial District Court could incur additional costs, particularly if they reside outside Nevada. The Nevada Eighth Judicial District Court, or the federal district courts in the case of Securities Act claims, may also reach different judgments or results than other courts, including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courts in which stockholders might otherwise seek to bring actions, and such judgments or results may be more favorable to us than to our stockholders. If a court were to find our exclusive forum provision inapplicable or unenforceable, however, we could incur additional costs defending actions in multiple jurisdictions, which could adversely affect our business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We do not pay regular quarterly or annual cash dividends on our stock. </w:t>
      </w:r>
      <w:r>
        <w:rPr>
          <w:rFonts w:ascii="Times New Roman" w:hAnsi="Times New Roman"/>
          <w:color w:val="000000"/>
          <w:sz w:val="20"/>
        </w:rPr>
        <w:t xml:space="preserve">Any determination to pay dividends is at the discretion of our Board of Directors and will 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Future sales of shares of our common stock in the public market, or the perception that such sales may occur, may depress our stock price. </w:t>
      </w:r>
      <w:r>
        <w:rPr>
          <w:rFonts w:ascii="Times New Roman" w:hAnsi="Times New Roman"/>
          <w:color w:val="000000"/>
          <w:sz w:val="20"/>
        </w:rPr>
        <w:t xml:space="preserve">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 </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Anti-takeover provisions in our organizational documents and Nevada law may discourage or prevent a change of control, even if an acquisition would be beneficial to our stockholders, which could affect our stock price adversely and prevent attempts by our stockholders to replace or remove our current management. </w:t>
      </w:r>
      <w:r>
        <w:rPr>
          <w:rFonts w:ascii="Times New Roman" w:hAnsi="Times New Roman"/>
          <w:color w:val="000000"/>
          <w:sz w:val="20"/>
        </w:rPr>
        <w:t>Following the Merger, we have no controlling stockholder which may make us more vulnerable to shareholder activism. Our certificate of incorporation, bylaws and Nevada law could make it more difficult for stockholders or potential acquirers to obtain control of our Board of Directors or initiate actions that are opposed by our then-current Board of Directors, including a merger, tender offer or proxy contest involving our company. These provisions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Authorization of the issuance of Class B common stock that entitles holders to ten votes per share;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Authorization of the issuance of preferred stock which can be created and issued by the Board of Directors without prior stockholder approval, with rights senior to those of our common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Prohibition of our stockholders to fill board vacancies or call special stockholder meetings;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Limitations on who may call special meetings of stockholders.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or any prevention of a change of control transaction or changes in our Board of Directors could cause the market price of our common stock to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We cannot guarantee that share repurchase programs will enhance long-term stockholder value. </w:t>
      </w:r>
      <w:r>
        <w:rPr>
          <w:rFonts w:ascii="Times New Roman" w:hAnsi="Times New Roman"/>
          <w:color w:val="000000"/>
          <w:sz w:val="20"/>
        </w:rPr>
        <w:t>On September 7, 2023, our Board of Directors authorized the repurchase of $250 million in shares of our common stock under a new share repurchase program. As of December 31, 2025, we had $110 million remaining available to repurchase shares of our common stock under this share repurchase program. The share repurchase program does not obligate the Company to acquire any particular number of shares and may be modified, suspended or discontinued at any time. The timing and amount of repurchases, if any, will depend upon several factors, including market and business conditions, the trading price of the Company’s common stock and the nature of other investment opportunities. The existence of a share repurchase program could cause our stock price to be higher than it would be in the absence of such a program. Additionally, our share repurchase programs could diminish our cash reserves, which may impact our ability to finance future growth, and to pursue possible future strategic opportunities and acquisitions. Although our share repurchase programs are intended to enhance long-term stockholder value, there is no assurance that they will do so and short-term stock price fluctuations could reduce the program’s effectiveness.</w:t>
      </w:r>
    </w:p>
    <w:p>
      <w:pPr>
        <w:pStyle w:val="TextBody"/>
        <w:bidi w:val="0"/>
        <w:spacing w:before="24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 era marked by rapid technological evolution, the business landscape is increasingly data-driven. Companies, including ours, collect, store, and leverage data to glean valuable insights about our members and travel trends; deliver relevant content to our members, suppliers, and business partners and enhance operational efficiency. This collection and leverage of data exposes us to potential cybersecurity threats. Our cybersecurity program is guided by industry standards developed by the National Institute of Standards and Technology (“NIST”). As a result, we have implemented a cybersecurity risk management framework that is designed to identify, assess, and mitigate risks from cybersecurity threats to our electronic information systems that could adversely affect the confidentiality, integrity, or availability of our information systems or the data residing on those systems. While no organization can eliminate cybersecurity risk entirely, we believe our cybersecurity program is reasonably designed to mitigate our cybersecurity and information technology risks.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Management Oversight and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is responsible for overseeing management’s processes for managing cybersecurity risks and has delegated this function to the Audit Committee. The Audit Committee regularly reviews and discusses with management the processes to identify, assess and manage cybersecurity threats, as well as to identify, assess and, to the extent required, disclose whether risks from cybersecurity threats have materially affected the Company or if material cybersecurity incidents have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the day-to-day risk management process, including the identification of risks and implementation of policies and procedures designed to manage, mitigate or monitor cyber risks. In support of these responsibilities, management has formed a Compliance Committee and designated a Chief Compliance Officer to implement, manage and oversee a corporate compliance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Compliance Committee is responsible for understanding the global risk landscape of the Company and for working to ensure that we have a compliance program in place designed to mitigate, manage and/or monitor risks. The Compliance Committee consists of, among others, our Chief Financial Officer (“CFO”), Chief Legal Officer (“CLO”) and Chief Compliance Officer (“CCO”). The CCO has established an Information Governance and Privacy Committee responsible for oversight of privacy and cybersecurity risks. The Information Governance and Privacy Committee consists of senior members of the Company’s Information Security Team and CCO, as well as representatives from engineering, product development and data privacy. The Information Governance and Privacy Committee meets regularly to discuss and monitor information uses and governance and risks associated with our information assets, including prevention, detection, mitigation and remediation of risks from cybersecurity threats.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CCO, supported by our Information Security Team, has primary responsibility for managing our cybersecurity threat management program. We maintain rigorous standards for our information security leadership positions, including requiring extensive experience in building and leading cybersecurity teams and implementing enterprise-wide cybersecurity programs. Our CCO and Information Security Team continue to execute on our established cybersecurity strategy and risk management framework. The Compliance Committee members, with input from the Information Security Team, meets regularly with and provides updates on cybersecurity developments to members of the executive management team. Our Information Security Team meets at least annually with each of the Compliance Committee to discuss cybersecurity threats and the risk management programs. The Information Security Team provides information, as appropriate, about the sources and nature of risks the Company faces and how management assesses such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CCO and Compliance Committee members also report regularly to our Audit Committee and Board of Directors on, among other matters, our global risk landscape and risk management efforts, including those related to cybersecurity risks. Our CCO also provides a quarterly report to the Audit Committee on trends and observations concerning cyber threats and actions being taken to mitigate those risks. The Chair of the Audit Committee reports quarterly to the full Board of Directors and that report includes a summary of the CCO’s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Processes for the Identification of Risks from Cybersecurity Threats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Compliance Committee, working with the Information Security Team, has developed a cybersecurity risk management program that aims to address the following key areas: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Identification of assets at risk from cybersecurity threats;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Identification of potential sources of cybersecurity threats;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Assessment of the status of protections in place to prevent or mitigate cybersecurity threats;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Approaches to mitigating and managing cybersecurity risks;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A process for regular reporting to the Compliance Committee and Board of Directors (directly and through the Audit Committee).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risk assessment and mitigation program is centered on the following components: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Identification of significant risks (primarily through enterprise risk assessments);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evaluation of the likelihood of such risk occurring, the potential impact and the control strength, consideration for compensating controls to mitigate the risk;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Prioritization of different risk items based on, among other things, the results of our evaluation;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Establishment of a process for addressing those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Internal Audit team reviews, monitors and audits various aspects of the Company’s enterprise risk management program to evaluate whether risks, including cybersecurity risks, are appropriately identified and managed. Internal Audit periodically reports to the Audit Committee on the Company’s cybersecurity risk mitigation efforts. The Audit Committee Chair, in turn, reports to the full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Incident Response Plan (“IRP”) is designed to facilitate rapid incident response to any security incident affecting the Company’s business lines, locations, services, and divisions. The IRP defines the roles and responsibilities for the senior leadership team and cybersecurity experts to identify and respond to cybersecurity events and incidents while complying with legal obligations. An Incident Response Team (“IRT”) is designated by the IRP to assess each cybersecurity incident and event for impacts to the Company, customers, and third-party partners and oversee the response to and remediation of such incident.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several employee training and development programs that are designed to, among others, raise awareness of cybersecurity risks impacting the business to encourage consideration and facilitate managing those risks. To assess the effectiveness of our program, we periodically conduct penetration testing and other vulnerability analyses. As part of the assessment of the protections we have in place to mitigate risks, we engage third parties to conduct risk assessments on our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certain third-party computer systems and third-party service providers in connection with providing some of our services. These third-party business partners, service providers, and consultants need to access our customer and other data, and connect to our computer networks. We define expected security and privacy requirements through our contracting processes with those third parties and we perform cyber risk assessments at the time of procurement to review the cyber risk management efforts of those third parties. These vendors are contractually obligated to notify us when they experience a cybersecurity incident that can affect our operations or stakeholders.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purchasing third-party technology or other solutions and partnerships that involve exposure to the Company’s assets and electronic information, our Information Security and Privacy team undertakes due diligence to assess any key data privacy or information security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identified any cybersecurity incidents or threats that have materially affected us or are reasonably likely to materially affect us, including our business strategy, results of operations, or financial condition; however, like other companies in our industry, we have, from time to time, experienced threats and cybersecurity incidents relating to our information technology systems and infrastructure. Our third-party vendors may also experience threats and cybersecurity incidents from time to time.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additional information about the cybersecurity risks, see “Risk Factors” under the section entitled “Risks Related to Information Security, Cybersecurity and Data Privacy” in Part I, Item 1A of this Annual Report on Form 10-K. </w:t>
      </w:r>
    </w:p>
    <w:p>
      <w:pPr>
        <w:pStyle w:val="TextBody"/>
        <w:bidi w:val="0"/>
        <w:spacing w:before="36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do not own any real estate. We lease approximately 280,000 square feet of office space for our corporate headquarters in Needham, Massachusetts, which has an expiration date of December 2030 and an option to extend the lease term for two consecutive terms of five years each. We also lease an aggregate of approximately 172,000 square feet of office space at nearly 25 locations across North America, Europe and Asia Pacific, in cities such as New York, London, Singapore, Barcelona and Paris, primarily used as sales offices, subsidiary headquarters, and for international operations, pursuant to leases with various expiration dates, with the latest expiring in December 2034. We believe that our current facilities are adequate for our current operations and that additional leased space can be obtained on reasonable terms if needed. </w:t>
      </w:r>
    </w:p>
    <w:p>
      <w:pPr>
        <w:pStyle w:val="TextBody"/>
        <w:bidi w:val="0"/>
        <w:spacing w:before="36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11: </w:t>
      </w:r>
      <w:r>
        <w:rPr>
          <w:rFonts w:ascii="Times New Roman" w:hAnsi="Times New Roman"/>
          <w:i/>
          <w:color w:val="000000"/>
          <w:sz w:val="20"/>
        </w:rPr>
        <w:t>Commitments and Contingencies</w:t>
      </w:r>
      <w:r>
        <w:rPr>
          <w:rFonts w:ascii="Times New Roman" w:hAnsi="Times New Roman"/>
          <w:color w:val="000000"/>
          <w:sz w:val="20"/>
        </w:rPr>
        <w:t>” in the notes to the consolidated financial statements in Part II, Item 8 of this Annual Report on Form 10-K, for further information regarding any legal proceedings. For an additional discussion of certain risks associated with legal proceedings, see “Risk Factors” in Part I, Item 1A of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bookmarkStart w:id="9" w:name="item_4_mine_safety_disclosures"/>
      <w:bookmarkEnd w:id="9"/>
      <w:r>
        <w:rPr>
          <w:rFonts w:ascii="Times New Roman" w:hAnsi="Times New Roman"/>
          <w:color w:val="000000"/>
          <w:sz w:val="20"/>
        </w:rPr>
        <w:t xml:space="preserve">Not applicable.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jc w:val="left"/>
        <w:rPr/>
      </w:pPr>
      <w:bookmarkStart w:id="11" w:name="item_5"/>
      <w:bookmarkEnd w:id="11"/>
      <w:r>
        <w:rPr/>
        <w:t> </w:t>
      </w:r>
    </w:p>
    <w:p>
      <w:pPr>
        <w:pStyle w:val="TextBody"/>
        <w:bidi w:val="0"/>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common stock is quoted on The Nasdaq Global Select Market under the ticker symbol “TRIP.” On April 29, 2025, the Company repurchased and retired our previously issued and outstanding Class B common stock. Refer to “Note 1: </w:t>
      </w:r>
      <w:r>
        <w:rPr>
          <w:rFonts w:ascii="Times New Roman" w:hAnsi="Times New Roman"/>
          <w:i/>
          <w:color w:val="000000"/>
          <w:sz w:val="20"/>
        </w:rPr>
        <w:t>Organization and Business Description</w:t>
      </w:r>
      <w:r>
        <w:rPr>
          <w:rFonts w:ascii="Times New Roman" w:hAnsi="Times New Roman"/>
          <w:color w:val="000000"/>
          <w:sz w:val="20"/>
        </w:rPr>
        <w:t xml:space="preserve">” in the notes to our consolidated financial statements in Item 8 of this Annual Report on Form 10-K for further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Performance Comparison Graph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provides a comparison of the total stockholder return from December 31, 2020 to December 31, 2025, of an investment of $100 in cash on December 31, 2020 for Tripadvisor, Inc. common stock and an investment of $100 in cash on December 31, 2020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t>
      </w:r>
    </w:p>
    <w:p>
      <w:pPr>
        <w:pStyle w:val="TextBody"/>
        <w:bidi w:val="0"/>
        <w:spacing w:before="120" w:after="283"/>
        <w:jc w:val="left"/>
        <w:rPr/>
      </w:pPr>
      <w:r>
        <w:rPr/>
        <w:drawing>
          <wp:inline distT="0" distB="0" distL="0" distR="0">
            <wp:extent cx="5229225" cy="434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29225" cy="4343400"/>
                    </a:xfrm>
                    <a:prstGeom prst="rect">
                      <a:avLst/>
                    </a:prstGeom>
                  </pic:spPr>
                </pic:pic>
              </a:graphicData>
            </a:graphic>
          </wp:inline>
        </w:drawing>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performance comparison graph is not “soliciting material,” is not deemed filed with the SEC and is not deemed to be incorporated by reference into any filing of Tripadvisor, Inc. under the Securities Act or any filing under the Exchange Act.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Holders of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6, 2026, there were 114,755,221 outstanding shares of our common stock held by 1,387 stockholders of record. </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did not declare or pay any dividends during the years ended December 31, 2025, 2024, or 2023.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is limited by the terms of the Credit Agreement. Refer to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 for further information regarding our debt agreements.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2025 Proxy Statement, which proxy statement will be filed with the SEC not later than 120 days after the close of our fiscal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December 31, 2025, the Company did not issue or sell any shares of our common stock or other equity securities pursuant to unregistered transactions in reliance upon an exemption from the registration requirements of the Securities Act of 1933, as amended.</w:t>
      </w:r>
    </w:p>
    <w:p>
      <w:pPr>
        <w:pStyle w:val="TextBody"/>
        <w:bidi w:val="0"/>
        <w:spacing w:before="360" w:after="283"/>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our Board of Directors authorized the repurchase of $250 million in shares of our common stock under a share repurchase program. Our Board of Directors authorized and directed management to effect the share repurchase program in compliance with applicable legal requirements. Management will determine the price, timing, amount and method of such repurchases based on its evaluation of market conditions and other factors, and at prices determined to be attractive and in the best interests of both the Company and its stockholders. This share repurchase program does not have a fixed expiration date or obligate the Company to acquire any particular number of shares and may be modified, suspended or discontinued at any time. As of December 31, 2025, we had $110 million remaining available to repurchase shares of our common stock under this authorized 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information regarding our common stock repurchases during the fourth quarter of 2025 is set forth in the table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3"/>
        <w:gridCol w:w="146"/>
        <w:gridCol w:w="187"/>
        <w:gridCol w:w="1197"/>
        <w:gridCol w:w="146"/>
        <w:gridCol w:w="146"/>
        <w:gridCol w:w="303"/>
        <w:gridCol w:w="826"/>
        <w:gridCol w:w="146"/>
        <w:gridCol w:w="277"/>
        <w:gridCol w:w="1767"/>
        <w:gridCol w:w="146"/>
        <w:gridCol w:w="146"/>
        <w:gridCol w:w="406"/>
        <w:gridCol w:w="281"/>
        <w:gridCol w:w="2196"/>
        <w:gridCol w:w="596"/>
      </w:tblGrid>
      <w:tr>
        <w:trPr/>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Average Price Paid per Share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Plans or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(or Approximate U.S. dollar Value) of Shares that May Yet Be Purchased Under the Plans or Programs</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October 1 to October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160,000,000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November 1 to November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110,000,000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December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2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Exclusive of fees and commissions.</w:t>
      </w:r>
    </w:p>
    <w:p>
      <w:pPr>
        <w:pStyle w:val="TextBody"/>
        <w:bidi w:val="0"/>
        <w:spacing w:before="360" w:after="283"/>
        <w:jc w:val="left"/>
        <w:rPr>
          <w:rFonts w:ascii="Times New Roman" w:hAnsi="Times New Roman"/>
          <w:sz w:val="20"/>
        </w:rPr>
      </w:pPr>
      <w:bookmarkStart w:id="13" w:name="item_6_selected_financial_data"/>
      <w:bookmarkEnd w:id="13"/>
      <w:r>
        <w:rPr>
          <w:rFonts w:ascii="Times New Roman" w:hAnsi="Times New Roman"/>
          <w:b/>
          <w:color w:val="000000"/>
          <w:sz w:val="20"/>
        </w:rPr>
        <w:t>Item 6. Selected Financial Data.</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discussion and analysis provides information concerning our results of operations and financial condition. This discussion should be read in conjunction with our accompanying consolidated financial statements including the notes in Item 8 of this Annual Report on Form 10-K, and the Section entitled “Cautionary Note Regarding Forward-Looking Statements,” included elsewhere in this Annual Report on Form 10-K. Our actual results may differ from the results discussed in any forward looking statements, which may be due to factors discussed in “Risk Factors” and elsewhere in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its financial performance within the following reportable segments: Experiences, Hotels and Other, and TheFork. The Company’s strategy is focused on growing and scaling its Experiences and TheFork marketplaces, which we believe represents an attractive long-term value creation opportunity, while optimizing its legacy offerings within the Hotels and Other segment for profitability.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Experiences segment includes both Viator and Tripadvisor points-of-sale. Viator is a pure-play experiences online travel agency (“OTA”), offering an online global marketplace focused on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The Hotels and Other segment primarily consists of the Tripadvisor hotel and restaurant guidance platform, which includes hotel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metasearch, and related advertising offerings primarily for hotels and restaurants. TheFork segment operates an online dining marketplace by enabling diners to discover and book reservations with restaurants in Europe.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Group’s globally recognized brands and extensive user-generated content (“UGC”) support traveler search, discovery, and planning, which in-turn generates high-intent demand for its experiences and dining marketplace offerings as well for commercial partners in the hotels category and advertising opportunities for endemic and non-endemic advertisers. In turn, clickstream and behavioral data reflecting traveler intent, transactional data from its experiences and dining marketplaces, UGC, and structured and unstructured data related to millions of POIs attractions, and destinations enhance the customer experience through product enhancements and personalization, reinforcing the discovery and engagement loop over time. In addition, the breadth, depth, and scale of first party data is uniquely valuable in the Company’s pursuit to innovate in the application of artificial intelligence (“AI”) for travel and experiences discovery, planning, and booking.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online travel industry in which we operate is large, highly dynamic and competitive. We describe below current trends affecting our overall business and segments, including opportunities, but also uncertainties that may impact our ability to execute on our objectives and strategies.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Experiences and TheFork businesses are two-sided online marketplaces, which have exhibited consistent revenue growth and improving profitability. The Company’s consolidated revenue and adjusted EBITDA continue to shift more towards its marketplace businesses, as shown in our segment financial information. Importantly, as of the year ended December 31, 2025, the Experiences and TheFork segments represented approximately 60% of the Company’s consolidated revenue and 35% of our consolidated adjusted EBITDA. As the Company continues to execute on its growth strategies and invest in these marketplace businesses, we expect these trends to continue to grow in the future. We expect this will result in less exposure to our media-based and click-based advertising offerings.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our highest strategic priority is to extend our position as a leader in the experiences category. The global experiences market is large, growing, highly fragmented, and under penetrated, with the vast majority of bookings still occurring through traditional offline sources. We expect to benefit from ongoing market tailwinds as consumers increasingly book experiences online and consumer behavior continues to allocate more discretionary spending to travel and experiences and away from physical goods. Likewise, the global restaurants category is also benefiting from increased online adoption by both consumers and restaurant partners, particularly in Europe. These trends present attractive growth opportunities for our business, as well as to many competitors. Given the competitive positioning of our businesses relative to the attractive growth prospects in the experiences and restaurant categories, we expect to continue to invest in these categories across Tripadvisor Group to continue growing revenue, operating scale, and market share for the long-term.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generate a significant amount of direct traffic from search engines, including Google, through search engine optimization (“SEO”) performance across all segments. We believe our SEO traffic acquisition performance has been negatively impacted by search engines changing their search result placement and underlying algorithms to increase the prominence of their own products in search results across our business. We believe that our Hotels and Other segment will continue to be impacted by these challenges and others, including AI overviews displacing top-ranked links, reduced click-through rates and a shift towards platform based non-traditional search.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Heightened geopolitical tensions and conflicts, including the evolving events in the Middle East and between Ukraine and Russia; acts of terrorism; political instability and public-health related events are examples of events that could have a negative impact on the travel industry and, as a result, our financial results. In addition, changes in legislative or regulatory policies, including changes in U.S. and international tax laws; announced or implemented changes in tariffs; fluctuations in interest rates, tax rates and foreign exchange rates and changes in global economic conditions can have material impacts on consumer spending and travel.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For information regarding our business model, industry and market opportunities, and business strategy, refer to the discussions set forth in Part I, Item 1. of this Form 10-K under the captions “</w:t>
      </w:r>
      <w:r>
        <w:rPr>
          <w:rFonts w:ascii="Times New Roman" w:hAnsi="Times New Roman"/>
          <w:i/>
          <w:color w:val="000000"/>
          <w:sz w:val="20"/>
        </w:rPr>
        <w:t>Our Business Model</w:t>
      </w:r>
      <w:r>
        <w:rPr>
          <w:rFonts w:ascii="Times New Roman" w:hAnsi="Times New Roman"/>
          <w:color w:val="000000"/>
          <w:sz w:val="20"/>
        </w:rPr>
        <w:t>,” “</w:t>
      </w:r>
      <w:r>
        <w:rPr>
          <w:rFonts w:ascii="Times New Roman" w:hAnsi="Times New Roman"/>
          <w:i/>
          <w:color w:val="000000"/>
          <w:sz w:val="20"/>
        </w:rPr>
        <w:t>Our Industry and Market Opportunity</w:t>
      </w:r>
      <w:r>
        <w:rPr>
          <w:rFonts w:ascii="Times New Roman" w:hAnsi="Times New Roman"/>
          <w:color w:val="000000"/>
          <w:sz w:val="20"/>
        </w:rPr>
        <w:t>,” and “</w:t>
      </w:r>
      <w:r>
        <w:rPr>
          <w:rFonts w:ascii="Times New Roman" w:hAnsi="Times New Roman"/>
          <w:i/>
          <w:color w:val="000000"/>
          <w:sz w:val="20"/>
        </w:rPr>
        <w:t>Our Business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Restructuring and Related Reorganization Action &amp; Reportable Segments Changes</w:t>
      </w:r>
    </w:p>
    <w:p>
      <w:pPr>
        <w:pStyle w:val="TextBody"/>
        <w:bidi w:val="0"/>
        <w:jc w:val="left"/>
        <w:rPr>
          <w:rFonts w:ascii="Times New Roman" w:hAnsi="Times New Roman"/>
          <w:sz w:val="20"/>
        </w:rPr>
      </w:pPr>
      <w:r>
        <w:rPr>
          <w:rFonts w:ascii="Times New Roman" w:hAnsi="Times New Roman"/>
          <w:color w:val="000000"/>
          <w:sz w:val="20"/>
        </w:rPr>
        <w:t xml:space="preserve">On November 5, 2025, the Company initiated a series of cost savings actions following a decision to realign its operating model across its Experiences segment and Hotels and Other segment (formerly Viator and Brand Tripadvisor segments, respectively) to support the Company’s positioning as an experiences-led and AI-enabled company. These cost savings actions primarily include a global workforce reduction, as well as other targeted operating expense reductions. As a result, the Company expects at least $85 million in annualized gross cost savings, the majority of which are expected to be realized in 2026 and fully realized by 2027. Related to these actions, the Company incurred pre-tax restructuring and other related reorganization costs of approximately $33 million during the fourth quarter of 2025, which consisted of employee severance and related benefits, primarily in our Hotels and Other segment, and to a lesser extent, our Experiences segment. The Company expects to incur additional pre-tax restructuring and other related reorganization costs of approximately $4 million primarily during the first quarter of 2026, also consisting of employee severance and related benefits related to these actions. We expect these cost reduction measures related to these actions to be fully expensed by the Company during the first quarter of 2026. Refer to “Note 7: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18: </w:t>
      </w:r>
      <w:r>
        <w:rPr>
          <w:rFonts w:ascii="Times New Roman" w:hAnsi="Times New Roman"/>
          <w:i/>
          <w:color w:val="000000"/>
          <w:sz w:val="20"/>
        </w:rPr>
        <w:t>Segment and Geographic Information</w:t>
      </w:r>
      <w:r>
        <w:rPr>
          <w:rFonts w:ascii="Times New Roman" w:hAnsi="Times New Roman"/>
          <w:color w:val="000000"/>
          <w:sz w:val="20"/>
        </w:rPr>
        <w:t>” in the notes to our consolidated financial statements in Item 8 of this Annual Report on Form 10-K for further information regarding restructuring and other related reorganization costs incurred for each reportable segment.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a result of the Company’s priorities, including but not limited to, extending its position as a global leader in the experiences category, it has combined its Viator and Brand Tripadvisor experiences operations, within the new Experiences segment to support this initiative. Following the Company’s decision to combine its Viator and Brand Tripadvisor experiences operations during the fourth quarter of 2025, our reportable segments have been reorganized as follows: (1) Experiences, (2) Hotels and Other; and (3) TheFork. As we focus our efforts on the Company’s positioning as an experiences-led company, we continue to evaluate strategic alternatives related to TheFork as part of our broader portfolio review. This re-segmentation had no impact on TheFork segment. Refer to “Note 18: </w:t>
      </w:r>
      <w:r>
        <w:rPr>
          <w:rFonts w:ascii="Times New Roman" w:hAnsi="Times New Roman"/>
          <w:i/>
          <w:color w:val="000000"/>
          <w:sz w:val="20"/>
        </w:rPr>
        <w:t>Segment and Geographic Information</w:t>
      </w:r>
      <w:r>
        <w:rPr>
          <w:rFonts w:ascii="Times New Roman" w:hAnsi="Times New Roman"/>
          <w:color w:val="000000"/>
          <w:sz w:val="20"/>
        </w:rPr>
        <w:t xml:space="preserve">” in the notes to our consolidated financial statements in Item 8 of this Annual Report on Form 10-K for further information.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Tripadvisor and Liberty TripAdvisor Merger</w:t>
      </w:r>
    </w:p>
    <w:p>
      <w:pPr>
        <w:pStyle w:val="TextBody"/>
        <w:bidi w:val="0"/>
        <w:jc w:val="left"/>
        <w:rPr>
          <w:rFonts w:ascii="Times New Roman" w:hAnsi="Times New Roman"/>
          <w:color w:val="000000"/>
          <w:sz w:val="20"/>
        </w:rPr>
      </w:pPr>
      <w:r>
        <w:rPr>
          <w:rFonts w:ascii="Times New Roman" w:hAnsi="Times New Roman"/>
          <w:color w:val="000000"/>
          <w:sz w:val="20"/>
        </w:rPr>
        <w:t xml:space="preserve">As previously disclosed in our 2024 Annual Report on Form 10-K, on December 18, 2024, the Company and LTRIP entered into the Merger Agreement, whereby Tripadvisor would acquire LTRIP. On April 29, 2025, the Merger closed (the “Merger Date”). The aggregate transaction price of the Merger was $437 million, consisting of: (i) $431 million in cash and common stock consideration paid in connection with the repurchase, plus (ii) approximately $19 million in direct expenses and fees associated with the repurchase; partially offset by (iii) $13 million in LTRIP net operating loss carryforwards (“NOLs”), tax effected, retained by the Company. As a result of the Merger, the Company is no longer a controlled company under the Nasdaq Stock Market Listing Rules.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Merger, assets held by LTRIP substantially consisted of shares of the Company’s common stock. As of the close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1: </w:t>
      </w:r>
      <w:r>
        <w:rPr>
          <w:rFonts w:ascii="Times New Roman" w:hAnsi="Times New Roman"/>
          <w:i/>
          <w:color w:val="000000"/>
          <w:sz w:val="20"/>
        </w:rPr>
        <w:t>Organization and Business Description</w:t>
      </w:r>
      <w:r>
        <w:rPr>
          <w:rFonts w:ascii="Times New Roman" w:hAnsi="Times New Roman"/>
          <w:color w:val="000000"/>
          <w:sz w:val="20"/>
        </w:rPr>
        <w:t>” in the notes to our consolidated financial statements in Item 8 of this Annual Report on Form 10-K for further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jc w:val="left"/>
        <w:rPr>
          <w:rFonts w:ascii="Times New Roman" w:hAnsi="Times New Roman"/>
          <w:sz w:val="20"/>
        </w:rPr>
      </w:pPr>
      <w:r>
        <w:rPr>
          <w:rFonts w:ascii="Times New Roman" w:hAnsi="Times New Roman"/>
          <w:color w:val="000000"/>
          <w:sz w:val="20"/>
        </w:rPr>
        <w:t xml:space="preserve">On April 29, 2025, the Company’s Board of Directors approved the retirement of all common stock and Class B common stock held as treasury stock by the Company, thereby canceling approximately 53.1 million shares of our common stock, with a carrying value of approximately $1.3 billion. The retirement of these shares resulted in a reduction in both the carrying value of treasury stock and additional paid-in capital of approximately $1.3 billion on our consolidated balance sheet. There was no net effect to the Company’s total stockholders’ equity balance on its consolidated balance sheet due to the retirement of these shares. Refer to “Note 14: </w:t>
      </w:r>
      <w:r>
        <w:rPr>
          <w:rFonts w:ascii="Times New Roman" w:hAnsi="Times New Roman"/>
          <w:i/>
          <w:color w:val="000000"/>
          <w:sz w:val="20"/>
        </w:rPr>
        <w:t>Stockholders’ Equity</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Term Loan B Facility</w:t>
      </w:r>
    </w:p>
    <w:p>
      <w:pPr>
        <w:pStyle w:val="TextBody"/>
        <w:bidi w:val="0"/>
        <w:jc w:val="left"/>
        <w:rPr>
          <w:rFonts w:ascii="Times New Roman" w:hAnsi="Times New Roman"/>
          <w:sz w:val="20"/>
        </w:rPr>
      </w:pPr>
      <w:r>
        <w:rPr>
          <w:rFonts w:ascii="Times New Roman" w:hAnsi="Times New Roman"/>
          <w:color w:val="000000"/>
          <w:sz w:val="20"/>
        </w:rPr>
        <w:t xml:space="preserve">On March 20, 2025, under the Amended Credit Agreement (defined below), the Company increased its existing Term Loan B Facility in the amount of $350 million, maturing July 8, 2031, with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outstanding 2026 Senior Notes, which matures on April 1, 2026, and for general corporate purposes. Refer to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Restructuring and Related Reorganization Action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2024, the Company approved and subsequently initiated a set of actions in order to reduce its cost structure, improve operational efficiencies, and realign its workforce with its strategic initiatives. As a result, the Company incurred pre-tax restructuring and other related reorganization costs totaling $21 million, during the fourth quarter of 2024, which consisted of a one-time contract termination fee to a third-party professional services firm and employee severance and related benefits. In addition, as a result of these actions taken, the Company incurred additional pre-tax restructuring and other related reorganization costs of approximately $10 million during the three months ended March 31, 2025, which consisted of employee severance and related benefits, primarily in our former Brand Tripadvisor segment. Refer to “Note 7: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18: </w:t>
      </w:r>
      <w:r>
        <w:rPr>
          <w:rFonts w:ascii="Times New Roman" w:hAnsi="Times New Roman"/>
          <w:i/>
          <w:color w:val="000000"/>
          <w:sz w:val="20"/>
        </w:rPr>
        <w:t>Segment and Geographic Information</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prepare our consolidated financial statements and accompanying notes in accordance with generally accepted accounting rules in the United States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are certain critical estimates that we believe require that management use significant judgment and estimates in applying those policies in the preparation of our consolidated financial statements. We consider an accounting estimate to be critical if: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 requires us to make an assumption because information was not available at the time or it included matters that were highly uncertain at the time we were making the estimate; and/or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in the estimate or different estimates that we could have selected may have had a material impact on our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Significant Accounting Policies</w:t>
      </w:r>
      <w:r>
        <w:rPr>
          <w:rFonts w:ascii="Times New Roman" w:hAnsi="Times New Roman"/>
          <w:color w:val="000000"/>
          <w:sz w:val="20"/>
        </w:rPr>
        <w:t xml:space="preserve">” in the notes to our consolidated financial statements in Item 8 of this Annual Report on Form 10-K for an overview of our significant accounting policies and any new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accounting pronouncements that we have adopted or that we plan to adopt that have had or may have an impact on our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discussion of information about the nature and rationale for our critical accounting estimates is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As of December 31, 2025, we had a valuation allowance of approximately $122 million related to certain NOL carryforwards and other foreign deferred tax assets for which it is more likely than not, the tax benefit will not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10: </w:t>
      </w:r>
      <w:r>
        <w:rPr>
          <w:rFonts w:ascii="Times New Roman" w:hAnsi="Times New Roman"/>
          <w:i/>
          <w:color w:val="000000"/>
          <w:sz w:val="20"/>
        </w:rPr>
        <w:t>Income Taxes</w:t>
      </w:r>
      <w:r>
        <w:rPr>
          <w:rFonts w:ascii="Times New Roman" w:hAnsi="Times New Roman"/>
          <w:color w:val="000000"/>
          <w:sz w:val="20"/>
        </w:rPr>
        <w:t xml:space="preserve">” in the notes to our consolidated financial statements in Item 8 of this Annual Report on Form 10-K and the “Contingencies” discussion below for further information, including certain uncertainties, critical estimates, and potential contingencies related to ongoing audits regarding income taxes. </w:t>
      </w:r>
    </w:p>
    <w:p>
      <w:pPr>
        <w:pStyle w:val="TextBody"/>
        <w:bidi w:val="0"/>
        <w:spacing w:before="360" w:after="283"/>
        <w:jc w:val="left"/>
        <w:rPr>
          <w:rFonts w:ascii="Times New Roman" w:hAnsi="Times New Roman"/>
          <w:sz w:val="20"/>
        </w:rPr>
      </w:pPr>
      <w:r>
        <w:rPr>
          <w:rFonts w:ascii="Times New Roman" w:hAnsi="Times New Roman"/>
          <w:b/>
          <w:color w:val="000000"/>
          <w:sz w:val="20"/>
        </w:rPr>
        <w:t>Certain Relationships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information on our related party transactions, refer to “Note 17: </w:t>
      </w:r>
      <w:r>
        <w:rPr>
          <w:rFonts w:ascii="Times New Roman" w:hAnsi="Times New Roman"/>
          <w:i/>
          <w:color w:val="000000"/>
          <w:sz w:val="20"/>
        </w:rPr>
        <w:t>Related Party Transactions</w:t>
      </w:r>
      <w:r>
        <w:rPr>
          <w:rFonts w:ascii="Times New Roman" w:hAnsi="Times New Roman"/>
          <w:color w:val="000000"/>
          <w:sz w:val="20"/>
        </w:rPr>
        <w:t xml:space="preserve">” in the notes to our consolidated financial statements in Item 8 of this Annual Report on Form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fourth quarter of 2025, the Company announced the realignment of its operating model to support its long-term goals and strategic priorities. As a result, in consultation with our Chief Executive Officer, who is our Chief Operating Decision Maker (“CODM”), we evaluated our operations and updated our reportable segment information which the CODM regularly assesses to evaluate performance for operating decision-making purposes, including allocation of resources. The revised segment reporting structure includes the following reportable segments: (1) Experiences; (2) Hotels and Other; and (3) TheFork. This re-segmentation had no impact to TheFork segment. For further information, including the change in segments and principal revenue streams within these segments, refer to “Note 18: </w:t>
      </w:r>
      <w:r>
        <w:rPr>
          <w:rFonts w:ascii="Times New Roman" w:hAnsi="Times New Roman"/>
          <w:i/>
          <w:color w:val="000000"/>
          <w:sz w:val="20"/>
        </w:rPr>
        <w:t>Segment and Geographic Information</w:t>
      </w:r>
      <w:r>
        <w:rPr>
          <w:rFonts w:ascii="Times New Roman" w:hAnsi="Times New Roman"/>
          <w:color w:val="000000"/>
          <w:sz w:val="20"/>
        </w:rPr>
        <w:t xml:space="preserve">” in the notes to our consolidated financial statements in Item 8 of this Annual Report on Form 10-K. All prior period segment disclosure information has been recast to conform to the current reporting structure in this Form 10-K. This recast had no effect on our consolidated financial statements in any period.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discussion regarding our financial condition and results of operations for fiscal year 2025 compared to fiscal year 2024 is presented below. A discussion regarding our financial condition and results of operations for fiscal year 2024 compared to fiscal year 2023 can be found in Part II, Item 7. "Management’s Discussion and Analysis of Financial Condition and Results of Operations" of our Annual Report on Form 10-K for the year ended December 31, 2024, filed with the SEC on February 20, 2025, except for the discussions related to our new Experiences and Hotels and Other reportable segments as a result of our revised segment reporting structure, as noted above. We have included a discussion regarding our financial condition and results of operations for fiscal year 2024 compared to fiscal year 2023, where applicable, as we believe the changes in our Experiences and Hotels and Other reportable segments is a material change for investors to understand the financial condition, changes in financial conditions, and results of operations of these revised reportable segments.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Selected Financial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percentages)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9"/>
        <w:gridCol w:w="146"/>
        <w:gridCol w:w="196"/>
        <w:gridCol w:w="646"/>
        <w:gridCol w:w="166"/>
        <w:gridCol w:w="146"/>
        <w:gridCol w:w="196"/>
        <w:gridCol w:w="646"/>
        <w:gridCol w:w="166"/>
        <w:gridCol w:w="146"/>
        <w:gridCol w:w="196"/>
        <w:gridCol w:w="646"/>
        <w:gridCol w:w="166"/>
        <w:gridCol w:w="146"/>
        <w:gridCol w:w="241"/>
        <w:gridCol w:w="622"/>
        <w:gridCol w:w="289"/>
        <w:gridCol w:w="146"/>
        <w:gridCol w:w="241"/>
        <w:gridCol w:w="622"/>
        <w:gridCol w:w="537"/>
      </w:tblGrid>
      <w:tr>
        <w:trPr/>
        <w:tc>
          <w:tcPr>
            <w:tcW w:w="3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vs. 2024</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(including stock-based compensation of $107.8, $119.7, and $95.8)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 related reorganization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financial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Adjusted EBITDA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Consolidated Adjusted EBITDA is considered a non-GAAP measure as defined by the SEC. Please refer to the “Adjusted EBITDA” discussion below for more information, including tabular reconciliations to the most directly comparable GAAP financial measure.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Revenue and Segment Information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Experiences Segment</w:t>
      </w:r>
    </w:p>
    <w:tbl>
      <w:tblPr>
        <w:tblW w:w="10205" w:type="dxa"/>
        <w:jc w:val="left"/>
        <w:tblInd w:w="0" w:type="dxa"/>
        <w:tblLayout w:type="fixed"/>
        <w:tblCellMar>
          <w:top w:w="28" w:type="dxa"/>
          <w:left w:w="28" w:type="dxa"/>
          <w:bottom w:w="28" w:type="dxa"/>
          <w:right w:w="28" w:type="dxa"/>
        </w:tblCellMar>
      </w:tblPr>
      <w:tblGrid>
        <w:gridCol w:w="3764"/>
        <w:gridCol w:w="146"/>
        <w:gridCol w:w="211"/>
        <w:gridCol w:w="571"/>
        <w:gridCol w:w="271"/>
        <w:gridCol w:w="146"/>
        <w:gridCol w:w="211"/>
        <w:gridCol w:w="571"/>
        <w:gridCol w:w="271"/>
        <w:gridCol w:w="146"/>
        <w:gridCol w:w="211"/>
        <w:gridCol w:w="571"/>
        <w:gridCol w:w="271"/>
        <w:gridCol w:w="146"/>
        <w:gridCol w:w="306"/>
        <w:gridCol w:w="665"/>
        <w:gridCol w:w="271"/>
        <w:gridCol w:w="146"/>
        <w:gridCol w:w="255"/>
        <w:gridCol w:w="737"/>
        <w:gridCol w:w="318"/>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in the notes to our consolidated financial statements in Item 8 of this Annual Report on Form 10-K for expense information needed in order to reconcile to the consolidated operating expense captions on the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color w:val="000000"/>
        </w:rPr>
      </w:pPr>
      <w:r>
        <w:rPr>
          <w:color w:val="000000"/>
        </w:rPr>
        <w:t>“</w:t>
      </w:r>
      <w:r>
        <w:rPr>
          <w:rFonts w:ascii="Times New Roman" w:hAnsi="Times New Roman"/>
          <w:color w:val="000000"/>
          <w:sz w:val="16"/>
        </w:rPr>
        <w:t xml:space="preserve">Adjusted EBITDA Margin by Segment” is defined as Adjusted EBITDA by segment divided by revenue by segment.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Key Operating Metrics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the operating metrics described below to assist us in measuring our operations performance, identifying trends, formulating projections and making strategic decisions for the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Number of Experience Bookings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 The number of experiences booked were approximately 22.9 million, 19.7 million, and 17.5 million for the years ended December 31, 2025, 2024, and 2023, respectively, an increase of approximately 16% and 12%, respectively, when compared to the same periods in 2024 and 2023, primarily driven by growth on Viator’s branded site and app as well as third-party points of sale.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Booking Value (“GBV”)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GBV represents the total dollar value of experience bookings powered by the Viator platform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GBV reached $4.7 billion, $4.2 billion, and $3.7 billion for the years ended December 31, 2025, 2024, and 2023, respectively, an increase of approximately 13% and 12%, respectively, when compared to the same periods in 2024 and 2023, primarily due to growth in the number of experience bookings as discussed above, partially offset by a decline in pricing. The decline in pricing was primarily due to growth in third-party points of sale which generally sell lower priced products compared to the Viator and Tripadvisor points of sale.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and Adjusted EBITDA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Experiences segment revenue increased by $84 million and $103 million for the years ended December 31, 2025 and 2024, respectively, when compared to the same periods in 2024 and 2023, respectively. The increase in revenue was primarily driven by growth in bookings volume, partially offset by a decline in pricing, as discussed above. In addition, we estimate that the Experiences' revenue growth rate was positively impacted by foreign currency fluctuations of approximately 2% during the year ended December 31, 2025 when compared to the same period in 2024, while this impact was not material during the year ended December 31, 2024 when compared to the same period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our Experiences segment improved by $12 million and $46 million during the years ended December 31, 2025 and 2024, respectively, when compared to the same periods in 2024 and 2023, and adjusted EBITDA margin improved by 0.5 percentage points and 4.9 percentage points, respectively, during the years ended December 31, 2025 and 2024, respectively, when compared to the same periods in 2024 and 2023. The improvement in adjusted EBITDA was primarily due to an increase in revenue as noted above, partially offset by an increase in marketing costs, variable costs related to revenue growth, such as credit card payment processing fees, and an increase in personnel costs to support business growth. The improvement in adjusted EBITDA margin was primarily due to lower marketing costs as a percent of revenue.</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Hotels and Other Segment</w:t>
      </w:r>
    </w:p>
    <w:tbl>
      <w:tblPr>
        <w:tblW w:w="10205" w:type="dxa"/>
        <w:jc w:val="left"/>
        <w:tblInd w:w="0" w:type="dxa"/>
        <w:tblLayout w:type="fixed"/>
        <w:tblCellMar>
          <w:top w:w="28" w:type="dxa"/>
          <w:left w:w="28" w:type="dxa"/>
          <w:bottom w:w="28" w:type="dxa"/>
          <w:right w:w="28" w:type="dxa"/>
        </w:tblCellMar>
      </w:tblPr>
      <w:tblGrid>
        <w:gridCol w:w="3695"/>
        <w:gridCol w:w="146"/>
        <w:gridCol w:w="211"/>
        <w:gridCol w:w="571"/>
        <w:gridCol w:w="271"/>
        <w:gridCol w:w="146"/>
        <w:gridCol w:w="211"/>
        <w:gridCol w:w="571"/>
        <w:gridCol w:w="271"/>
        <w:gridCol w:w="146"/>
        <w:gridCol w:w="211"/>
        <w:gridCol w:w="571"/>
        <w:gridCol w:w="271"/>
        <w:gridCol w:w="146"/>
        <w:gridCol w:w="271"/>
        <w:gridCol w:w="699"/>
        <w:gridCol w:w="316"/>
        <w:gridCol w:w="146"/>
        <w:gridCol w:w="271"/>
        <w:gridCol w:w="699"/>
        <w:gridCol w:w="365"/>
      </w:tblGrid>
      <w:tr>
        <w:trPr/>
        <w:tc>
          <w:tcPr>
            <w:tcW w:w="3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Hotels and Other segment revenue figures are shown gross of intersegment (intercompany) revenue, which is eliminated on a consolidated basis. 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in the notes to our consolidated financial statements in Item 8 of this Annual Report on Form 10-K for a discussion of intersegment revenue for all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 xml:space="preserve">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in the notes to our consolidated financial statements in Item 8 of this Annual Report on Form 10-K for expense information needed in order to reconcile to the consolidated operating expense captions on the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color w:val="000000"/>
        </w:rPr>
      </w:pPr>
      <w:r>
        <w:rPr>
          <w:color w:val="000000"/>
        </w:rPr>
        <w:t>“</w:t>
      </w:r>
      <w:r>
        <w:rPr>
          <w:rFonts w:ascii="Times New Roman" w:hAnsi="Times New Roman"/>
          <w:color w:val="000000"/>
          <w:sz w:val="16"/>
        </w:rPr>
        <w:t xml:space="preserve">Adjusted EBITDA Margin by Segment” is defined as Adjusted EBITDA by segment divided by revenue by segment. </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2025 vs.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Hotels and Other revenue decreased by $68 million during the year ended December 31, 2025 when compared to the same period in 2024, driven by declines across all revenue streams, as discussed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 our Hotels and Other segment decreased $47 million during the year ended December 31, 2025 when compared to the same period in 2024, while adjusted EBITDA margin decreased by 3.5 percentage points during the year ended December 31, 2025 when compared to the same period in 2024. The decrease in adjusted EBITDA was primarily due to a decrease in revenue, as noted above, partially offset by a decrease in the segment's operating expenses of $21 million during the year ended December 31, 2025 when compared to the same period in 2024, primarily related to a decrease in personnel costs related to cost reduction measures discussed above, partially offset by an increase in marketing expenses, primarily paid online traffic acquisition costs. The decrease in adjusted EBITDA margin during the year ended December 31, 2025 when compared to the same period in 2024, was largely due to an increase in marketing costs as a percent of revenue.</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2024 vs.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Hotels and Other revenue decreased by $83 million during the year ended December 31, 2024 when compared to the same period in 2023, primarily due to a decrease in hotel meta revenue and, to a lesser extent, a decrease in hotel B2B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 our Hotels and Other segment decreased $61 million during the year ended December 31, 2024 when compared to the same period in 2023, while adjusted EBITDA margin decreased by 3.9 percentage points during the year ended December 31, 2024 when compared to the same period in 2023. The decrease in adjusted EBITDA was primarily due to a decrease in revenue, as noted above, partially offset by a decrease of $22 million in the segment's operating expenses during the year ended December 31, 2024 when compared to the same period in 2023, primarily related to a decrease in marketing costs, primarily paid online traffic acquisition costs, and to a lesser extent a decrease in personnel costs. The decrease in adjusted EBITDA margin during the year ended December 31, 2024 when compared to the same period in 2023, was largely due to an increase in personnel costs as a percent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detailed discussion of the revenue sources within our Hotels and Other segment:</w:t>
      </w:r>
    </w:p>
    <w:p>
      <w:pPr>
        <w:pStyle w:val="TextBody"/>
        <w:bidi w:val="0"/>
        <w:jc w:val="left"/>
        <w:rPr/>
      </w:pPr>
      <w:r>
        <w:rPr/>
        <w:t> </w:t>
      </w:r>
    </w:p>
    <w:tbl>
      <w:tblPr>
        <w:tblW w:w="10147" w:type="dxa"/>
        <w:jc w:val="left"/>
        <w:tblInd w:w="0" w:type="dxa"/>
        <w:tblLayout w:type="fixed"/>
        <w:tblCellMar>
          <w:top w:w="28" w:type="dxa"/>
          <w:left w:w="28" w:type="dxa"/>
          <w:bottom w:w="28" w:type="dxa"/>
          <w:right w:w="28" w:type="dxa"/>
        </w:tblCellMar>
      </w:tblPr>
      <w:tblGrid>
        <w:gridCol w:w="3031"/>
        <w:gridCol w:w="146"/>
        <w:gridCol w:w="211"/>
        <w:gridCol w:w="571"/>
        <w:gridCol w:w="271"/>
        <w:gridCol w:w="146"/>
        <w:gridCol w:w="211"/>
        <w:gridCol w:w="571"/>
        <w:gridCol w:w="271"/>
        <w:gridCol w:w="146"/>
        <w:gridCol w:w="211"/>
        <w:gridCol w:w="571"/>
        <w:gridCol w:w="271"/>
        <w:gridCol w:w="146"/>
        <w:gridCol w:w="310"/>
        <w:gridCol w:w="800"/>
        <w:gridCol w:w="331"/>
        <w:gridCol w:w="146"/>
        <w:gridCol w:w="310"/>
        <w:gridCol w:w="800"/>
        <w:gridCol w:w="67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Hotels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 except percentages)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Hotels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i/>
                <w:color w:val="000000"/>
                <w:sz w:val="20"/>
              </w:rPr>
            </w:pPr>
            <w:r>
              <w:rPr>
                <w:rFonts w:ascii="Times New Roman" w:hAnsi="Times New Roman"/>
                <w:i/>
                <w:color w:val="000000"/>
                <w:sz w:val="20"/>
              </w:rPr>
              <w:t>% of Hotels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Hotels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i/>
          <w:color w:val="000000"/>
          <w:sz w:val="14"/>
        </w:rPr>
      </w:pPr>
      <w:r>
        <w:rPr>
          <w:rFonts w:ascii="Times New Roman" w:hAnsi="Times New Roman"/>
          <w:i/>
          <w:color w:val="000000"/>
          <w:sz w:val="14"/>
        </w:rPr>
        <w:t>*Percentages may not total to 100% due to rounding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Tripadvisor dining revenue within the Hotels and Other segment is shown gross of intersegment (intercompany) revenue, which is eliminated on a consolidated basis. 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 xml:space="preserve">in the notes to our consolidated financial statements in Item 8 of this Annual Report on Form 10-K for a discussion of intersegment revenue for all periods presented. </w:t>
      </w:r>
    </w:p>
    <w:p>
      <w:pPr>
        <w:pStyle w:val="TextBody"/>
        <w:bidi w:val="0"/>
        <w:spacing w:before="360" w:after="283"/>
        <w:jc w:val="left"/>
        <w:rPr>
          <w:rFonts w:ascii="Times New Roman" w:hAnsi="Times New Roman"/>
          <w:sz w:val="20"/>
        </w:rPr>
      </w:pPr>
      <w:r>
        <w:rPr>
          <w:rFonts w:ascii="Times New Roman" w:hAnsi="Times New Roman"/>
          <w:i/>
          <w:color w:val="000000"/>
          <w:sz w:val="20"/>
        </w:rPr>
        <w:t>Hotels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Hotels revenue decreased $34 million during the year ended December 31, 2025 when compared to the same period in 2024, primarily due to a decrease in hotel metasearch revenue and, to a lesser extent, a decrease in hotel B2B revenue. These decreases were driven primarily by continued headwinds impacting both free and paid marketing channels, resulting in lower click volumes, which more than offset growth in pricing as measured in cost-per-click rates (“CPCs”). Growth in CPCs was due in part to certain product changes made that improved qualified referrals to our partners and, as a result, increased CPCs, across all geographies.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Media and Advertising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Media and advertising revenue, which primarily consists of revenue from display-based advertising across our Tripadvisor Group platform, decreased $18 million during the year ended December 31, 2025 when compared to the same period in 2024. The decrease was primarily due to declines in traditional display and programmatic advertising (together sometimes referred to as “on platform” advertising) that correlates closely with overall traffic volume which declined during the last three quarters of 2025, due to the aforementioned traffic headwinds.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 includes click-based advertising and display-based advertising revenue from our cruise, vacation rentals, flights, and rental cars offerings on Tripadvisor websites and mobile apps, as well as, Tripadvisor dining revenue. Tripadvisor dining revenue includes intercompany (intersegment) revenue consisting of affiliate marketing commissions earned primarily from restaurant reservation bookings on Tripadvisor-branded websites and mobile apps, fulfilled by TheFork, which is eliminated on a consolidated basis, in addition to revenue earned from Hotels and Other’s own B2B restaurant offerings. Other revenue decreased approximately $16 million and $14 million during the years ended December 31, 2025 and 2024, respectively, when compared to the same periods in 2024 and 2023, primarily due to the strategic decision to de-emphasize our vacation rentals offering, as well as ongoing dynamics in restaurants related to our go-to-market shift from a sales-led model to a self-service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Company enters 2026, it no longer offers travelers access to vacation rentals, flights and rental cars offerings on its platform.</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TheFork Segment</w:t>
      </w:r>
    </w:p>
    <w:tbl>
      <w:tblPr>
        <w:tblW w:w="10205" w:type="dxa"/>
        <w:jc w:val="left"/>
        <w:tblInd w:w="0" w:type="dxa"/>
        <w:tblLayout w:type="fixed"/>
        <w:tblCellMar>
          <w:top w:w="28" w:type="dxa"/>
          <w:left w:w="28" w:type="dxa"/>
          <w:bottom w:w="28" w:type="dxa"/>
          <w:right w:w="28" w:type="dxa"/>
        </w:tblCellMar>
      </w:tblPr>
      <w:tblGrid>
        <w:gridCol w:w="3730"/>
        <w:gridCol w:w="146"/>
        <w:gridCol w:w="211"/>
        <w:gridCol w:w="571"/>
        <w:gridCol w:w="271"/>
        <w:gridCol w:w="146"/>
        <w:gridCol w:w="211"/>
        <w:gridCol w:w="571"/>
        <w:gridCol w:w="271"/>
        <w:gridCol w:w="146"/>
        <w:gridCol w:w="211"/>
        <w:gridCol w:w="571"/>
        <w:gridCol w:w="271"/>
        <w:gridCol w:w="146"/>
        <w:gridCol w:w="254"/>
        <w:gridCol w:w="733"/>
        <w:gridCol w:w="271"/>
        <w:gridCol w:w="146"/>
        <w:gridCol w:w="304"/>
        <w:gridCol w:w="660"/>
        <w:gridCol w:w="364"/>
      </w:tblGrid>
      <w:tr>
        <w:trPr/>
        <w:tc>
          <w:tcPr>
            <w:tcW w:w="3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Marketing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Margin by Segment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n.m. = </w:t>
      </w:r>
      <w:r>
        <w:rPr>
          <w:rFonts w:ascii="Times New Roman" w:hAnsi="Times New Roman"/>
          <w:i/>
          <w:color w:val="000000"/>
          <w:sz w:val="16"/>
        </w:rPr>
        <w:t>not meaningful</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in the notes to our consolidated financial statements in Item 8 of this Annual Report on Form 10-K for expense information needed in order to reconcile to the consolidated operating expense captions on the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 xml:space="preserve">TheFork segment marketing expenses are shown gross of intersegment (intercompany) expenses, which is eliminated on a consolidated basis. Refer to “Note 18: </w:t>
      </w:r>
      <w:r>
        <w:rPr>
          <w:rFonts w:ascii="Times New Roman" w:hAnsi="Times New Roman"/>
          <w:i/>
          <w:color w:val="000000"/>
          <w:sz w:val="16"/>
        </w:rPr>
        <w:t>Segment and Geographic Information</w:t>
      </w:r>
      <w:r>
        <w:rPr>
          <w:color w:val="000000"/>
        </w:rPr>
        <w:t xml:space="preserve">” </w:t>
      </w:r>
      <w:r>
        <w:rPr>
          <w:rFonts w:ascii="Times New Roman" w:hAnsi="Times New Roman"/>
          <w:color w:val="000000"/>
          <w:sz w:val="16"/>
        </w:rPr>
        <w:t>in the notes to our consolidated financial statements in Item 8 of this Annual Report on Form 10-K for a discussion of intersegment revenue and expenses for all periods presented.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color w:val="000000"/>
        </w:rPr>
      </w:pPr>
      <w:r>
        <w:rPr>
          <w:color w:val="000000"/>
        </w:rPr>
        <w:t>“</w:t>
      </w:r>
      <w:r>
        <w:rPr>
          <w:rFonts w:ascii="Times New Roman" w:hAnsi="Times New Roman"/>
          <w:color w:val="000000"/>
          <w:sz w:val="16"/>
        </w:rPr>
        <w:t xml:space="preserve">Adjusted EBITDA Margin by Segment” is defined as Adjusted EBITDA by segment divided by revenue by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TheFork segment revenue increased by $40 million during the year ended December 31, 2025 when compared to the same period in 2024, driven primarily driven by booking volume growth largely in TheFork's branded channel and, to a lesser extent, increased adoption of its premium online reservation booking software offering and third-party partnership revenue. In addition, we estimate TheFork's revenue growth rate was positively impacted by foreign currency fluctuations of approximately 5% during the year ended December 31, 2025 when compared to the same period in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in TheFork segment improved by $15 million during the year ended December 31, 2025 when compared to the same period in 2024, and adjusted EBITDA margin improved by 6.3 percentage points during the year ended December 31, 2025 when compared to the same period in 2024. The improvement in adjusted EBITDA was primarily due to an increase in revenue as noted above, partially offset by increased marketing costs, in addition to an increase in cost of sales to support certain third-party partner relationships during 2025. The improvement in adjusted EBITDA margin was primarily due to lower personnel costs as a percentage of revenue.</w:t>
      </w:r>
    </w:p>
    <w:p>
      <w:pPr>
        <w:pStyle w:val="TextBody"/>
        <w:bidi w:val="0"/>
        <w:spacing w:before="240" w:after="283"/>
        <w:jc w:val="left"/>
        <w:rPr>
          <w:rFonts w:ascii="Times New Roman" w:hAnsi="Times New Roman"/>
          <w:sz w:val="20"/>
        </w:rPr>
      </w:pPr>
      <w:r>
        <w:rPr>
          <w:rFonts w:ascii="Times New Roman" w:hAnsi="Times New Roman"/>
          <w:b/>
          <w:color w:val="000000"/>
          <w:sz w:val="20"/>
        </w:rPr>
        <w:t>Consolidated Expenses</w:t>
      </w:r>
      <w:r>
        <w:rPr>
          <w:rFonts w:ascii="Times New Roman" w:hAnsi="Times New Roman"/>
          <w:color w:val="000000"/>
          <w:sz w:val="20"/>
        </w:rPr>
        <w:t xml:space="preserve"> </w:t>
      </w:r>
    </w:p>
    <w:p>
      <w:pPr>
        <w:pStyle w:val="TextBody"/>
        <w:bidi w:val="0"/>
        <w:spacing w:before="240" w:after="160"/>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pStyle w:val="TextBody"/>
        <w:bidi w:val="0"/>
        <w:jc w:val="left"/>
        <w:rPr/>
      </w:pPr>
      <w:r>
        <w:rPr/>
        <w:t> </w:t>
      </w:r>
    </w:p>
    <w:tbl>
      <w:tblPr>
        <w:tblW w:w="7882" w:type="dxa"/>
        <w:jc w:val="left"/>
        <w:tblInd w:w="0" w:type="dxa"/>
        <w:tblLayout w:type="fixed"/>
        <w:tblCellMar>
          <w:top w:w="28" w:type="dxa"/>
          <w:left w:w="28" w:type="dxa"/>
          <w:bottom w:w="28" w:type="dxa"/>
          <w:right w:w="28" w:type="dxa"/>
        </w:tblCellMar>
      </w:tblPr>
      <w:tblGrid>
        <w:gridCol w:w="1186"/>
        <w:gridCol w:w="146"/>
        <w:gridCol w:w="211"/>
        <w:gridCol w:w="571"/>
        <w:gridCol w:w="271"/>
        <w:gridCol w:w="146"/>
        <w:gridCol w:w="211"/>
        <w:gridCol w:w="571"/>
        <w:gridCol w:w="271"/>
        <w:gridCol w:w="146"/>
        <w:gridCol w:w="211"/>
        <w:gridCol w:w="571"/>
        <w:gridCol w:w="271"/>
        <w:gridCol w:w="146"/>
        <w:gridCol w:w="350"/>
        <w:gridCol w:w="760"/>
        <w:gridCol w:w="271"/>
        <w:gridCol w:w="146"/>
        <w:gridCol w:w="350"/>
        <w:gridCol w:w="760"/>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 of sales increased $13 million during the year ended December 31, 2025 when compared to the same period in 2024, primarily due to an increase in variable costs supporting revenue growth including credit card payment processing fees and other transaction related costs in Experiences and TheFork, partially offset by lower digital service taxes (“DST”), largely due to $3 million in incremental DST during 2024 related to enacted tax legislation in Canada requiring retrospective application, which did not reoccur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Marketing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Marketing expenses (or advertising costs) consist of direct costs, including traffic generation costs from paid online traffic acquisition costs (including SEM and other online traffic acquisition costs), syndication costs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affiliate marketing commissions, social media costs, brand advertising (including connected television, traditional television and other offline advertising), promotions and public relations.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3"/>
        <w:gridCol w:w="146"/>
        <w:gridCol w:w="211"/>
        <w:gridCol w:w="571"/>
        <w:gridCol w:w="271"/>
        <w:gridCol w:w="146"/>
        <w:gridCol w:w="211"/>
        <w:gridCol w:w="571"/>
        <w:gridCol w:w="271"/>
        <w:gridCol w:w="146"/>
        <w:gridCol w:w="211"/>
        <w:gridCol w:w="571"/>
        <w:gridCol w:w="271"/>
        <w:gridCol w:w="146"/>
        <w:gridCol w:w="314"/>
        <w:gridCol w:w="683"/>
        <w:gridCol w:w="320"/>
        <w:gridCol w:w="146"/>
        <w:gridCol w:w="314"/>
        <w:gridCol w:w="683"/>
        <w:gridCol w:w="369"/>
      </w:tblGrid>
      <w:tr>
        <w:trPr/>
        <w:tc>
          <w:tcPr>
            <w:tcW w:w="3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Experiences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Hotels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 TheFork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(intercompany)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costs increased $63 million during the year ended December 31, 2025 when compared to the same period in 2024, primarily driven by an increase in marketing costs in Experiences, and to a lesser extent, Hotels and Other and TheFork as paid online marketing costs across all our segments increased as part of our overall paid marketing channel mix and prioritization.</w:t>
      </w:r>
    </w:p>
    <w:p>
      <w:pPr>
        <w:pStyle w:val="TextBody"/>
        <w:bidi w:val="0"/>
        <w:spacing w:before="360" w:after="283"/>
        <w:jc w:val="left"/>
        <w:rPr>
          <w:rFonts w:ascii="Times New Roman" w:hAnsi="Times New Roman"/>
          <w:sz w:val="20"/>
        </w:rPr>
      </w:pPr>
      <w:r>
        <w:rPr>
          <w:rFonts w:ascii="Times New Roman" w:hAnsi="Times New Roman"/>
          <w:b/>
          <w:i/>
          <w:color w:val="000000"/>
          <w:sz w:val="20"/>
        </w:rPr>
        <w:t>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3"/>
        <w:gridCol w:w="146"/>
        <w:gridCol w:w="211"/>
        <w:gridCol w:w="571"/>
        <w:gridCol w:w="271"/>
        <w:gridCol w:w="146"/>
        <w:gridCol w:w="211"/>
        <w:gridCol w:w="571"/>
        <w:gridCol w:w="271"/>
        <w:gridCol w:w="146"/>
        <w:gridCol w:w="211"/>
        <w:gridCol w:w="571"/>
        <w:gridCol w:w="271"/>
        <w:gridCol w:w="146"/>
        <w:gridCol w:w="278"/>
        <w:gridCol w:w="719"/>
        <w:gridCol w:w="319"/>
        <w:gridCol w:w="146"/>
        <w:gridCol w:w="311"/>
        <w:gridCol w:w="676"/>
        <w:gridCol w:w="320"/>
      </w:tblGrid>
      <w:tr>
        <w:trPr/>
        <w:tc>
          <w:tcPr>
            <w:tcW w:w="3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 costs decreased $22 million during the year ended December 31, 2025 when compared to the same period in 2024, primarily driven by a reduction in headcount related to cost-reduction measures initiated in Hotels and Other during 2025, partially offset by an increase in personnel costs to support business growth in Experiences during the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expenses consist primarily of licensing, data center costs including cloud-based solutions, maintenance, computer supplies, telecom, and content translation and localization costs.</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186"/>
        <w:gridCol w:w="146"/>
        <w:gridCol w:w="211"/>
        <w:gridCol w:w="466"/>
        <w:gridCol w:w="271"/>
        <w:gridCol w:w="146"/>
        <w:gridCol w:w="211"/>
        <w:gridCol w:w="466"/>
        <w:gridCol w:w="271"/>
        <w:gridCol w:w="146"/>
        <w:gridCol w:w="211"/>
        <w:gridCol w:w="466"/>
        <w:gridCol w:w="271"/>
        <w:gridCol w:w="146"/>
        <w:gridCol w:w="452"/>
        <w:gridCol w:w="658"/>
        <w:gridCol w:w="271"/>
        <w:gridCol w:w="146"/>
        <w:gridCol w:w="350"/>
        <w:gridCol w:w="760"/>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costs increased $7 million during the year ended December 31, 2025 when compared to the same period in 2024, primarily due to increased data center costs in Hotels and Other and licensing costs in Experiences.</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 </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2311"/>
        <w:gridCol w:w="146"/>
        <w:gridCol w:w="211"/>
        <w:gridCol w:w="466"/>
        <w:gridCol w:w="271"/>
        <w:gridCol w:w="146"/>
        <w:gridCol w:w="211"/>
        <w:gridCol w:w="466"/>
        <w:gridCol w:w="271"/>
        <w:gridCol w:w="146"/>
        <w:gridCol w:w="211"/>
        <w:gridCol w:w="466"/>
        <w:gridCol w:w="271"/>
        <w:gridCol w:w="146"/>
        <w:gridCol w:w="310"/>
        <w:gridCol w:w="800"/>
        <w:gridCol w:w="331"/>
        <w:gridCol w:w="146"/>
        <w:gridCol w:w="350"/>
        <w:gridCol w:w="760"/>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vs.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costs decreased $23 million during the year ended December 31, 2025 when compared to the same period in 2024, primarily due to an estimated accrual for the potential settlement of a regulatory related matter of $10 million during 2024, which was reduced by $4 million during the second quarter of 2025, and to a lesser extent, transaction related costs of $3 million incurred during 2024, which did not reoccur in 2025, all of which are included in Hotels and Other. In addition, a reduction of $3 million in office lease expense, as a result of cost reduction initiatives in Hotels and Other, also contributed to the decrease in general and administrative costs during the year ended December 31, 2025 when compared to the same period in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consists of depreciation on computer equipment, leasehold improvements, furniture, office equipment and other assets, and amortization of capitalized website development costs and right-of-use assets related to our finance lease. Amortization consists of the amortization of definite-lived intangibles purchased in business acquisitions.</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3226"/>
        <w:gridCol w:w="146"/>
        <w:gridCol w:w="211"/>
        <w:gridCol w:w="466"/>
        <w:gridCol w:w="271"/>
        <w:gridCol w:w="146"/>
        <w:gridCol w:w="211"/>
        <w:gridCol w:w="466"/>
        <w:gridCol w:w="271"/>
        <w:gridCol w:w="146"/>
        <w:gridCol w:w="211"/>
        <w:gridCol w:w="466"/>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increased $7 million during the year ended December 31, 2025 when compared to the same period in 2024, primarily due to increased depreciation related to previous capital expenditure investments in internal website development, partially offset by the completion of amortization related to intangible assets purchased in business acquisitions in previous years.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and other related reorganization costs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Restructuring and other related reorganization costs consist primarily of employee severance and related benefits, and other related reorganization costs. </w:t>
      </w:r>
    </w:p>
    <w:tbl>
      <w:tblPr>
        <w:tblW w:w="7723" w:type="dxa"/>
        <w:jc w:val="left"/>
        <w:tblInd w:w="0" w:type="dxa"/>
        <w:tblLayout w:type="fixed"/>
        <w:tblCellMar>
          <w:top w:w="28" w:type="dxa"/>
          <w:left w:w="28" w:type="dxa"/>
          <w:bottom w:w="28" w:type="dxa"/>
          <w:right w:w="28" w:type="dxa"/>
        </w:tblCellMar>
      </w:tblPr>
      <w:tblGrid>
        <w:gridCol w:w="4321"/>
        <w:gridCol w:w="146"/>
        <w:gridCol w:w="211"/>
        <w:gridCol w:w="466"/>
        <w:gridCol w:w="271"/>
        <w:gridCol w:w="146"/>
        <w:gridCol w:w="211"/>
        <w:gridCol w:w="466"/>
        <w:gridCol w:w="271"/>
        <w:gridCol w:w="146"/>
        <w:gridCol w:w="211"/>
        <w:gridCol w:w="46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incurred pre-tax restructuring and other related reorganization costs of $43 million during the year ended December 31, 2025, as discussed above. Refer to “Note 7: </w:t>
      </w:r>
      <w:r>
        <w:rPr>
          <w:rFonts w:ascii="Times New Roman" w:hAnsi="Times New Roman"/>
          <w:i/>
          <w:color w:val="000000"/>
          <w:sz w:val="20"/>
        </w:rPr>
        <w:t>Accrued Expenses and Other Current Liabilities</w:t>
      </w:r>
      <w:r>
        <w:rPr>
          <w:rFonts w:ascii="Times New Roman" w:hAnsi="Times New Roman"/>
          <w:color w:val="000000"/>
          <w:sz w:val="20"/>
        </w:rPr>
        <w:t>” in the notes to our consolidated financial statements in Item 8 of this Annual Report on Form 10-K for more information regarding restructuring and other related reorganization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primarily consists of interest incurred, commitment fees, and debt issuance cost amortization related to the Credit Facility, the Term Loan B Facility, the 2025 Senior Notes, the 2026 Senior Notes, as well as imputed interest on finance leases.</w:t>
      </w:r>
    </w:p>
    <w:p>
      <w:pPr>
        <w:pStyle w:val="TextBody"/>
        <w:bidi w:val="0"/>
        <w:jc w:val="left"/>
        <w:rPr/>
      </w:pPr>
      <w:r>
        <w:rPr/>
        <w:t> </w:t>
      </w:r>
    </w:p>
    <w:tbl>
      <w:tblPr>
        <w:tblW w:w="4618" w:type="dxa"/>
        <w:jc w:val="left"/>
        <w:tblInd w:w="0" w:type="dxa"/>
        <w:tblLayout w:type="fixed"/>
        <w:tblCellMar>
          <w:top w:w="28" w:type="dxa"/>
          <w:left w:w="28" w:type="dxa"/>
          <w:bottom w:w="28" w:type="dxa"/>
          <w:right w:w="28" w:type="dxa"/>
        </w:tblCellMar>
      </w:tblPr>
      <w:tblGrid>
        <w:gridCol w:w="1426"/>
        <w:gridCol w:w="146"/>
        <w:gridCol w:w="211"/>
        <w:gridCol w:w="526"/>
        <w:gridCol w:w="166"/>
        <w:gridCol w:w="146"/>
        <w:gridCol w:w="211"/>
        <w:gridCol w:w="526"/>
        <w:gridCol w:w="166"/>
        <w:gridCol w:w="146"/>
        <w:gridCol w:w="211"/>
        <w:gridCol w:w="526"/>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Interest expense increased $17 million during the year ended December 31, 2025 when compared to the same period in 2024, primarily due to an increase in our aggregate outstanding principal amount, which incrementally increased our ongoing financing costs. The majority of interest expense reported during the year ended December 31, 2025 was primarily related to the Term Loan B Facility, while during the year ended December 31, 2024, interest expense incurred was primarily related to the Term Loan B Facility, as well as the 2025 Senior Notes, which were redeemed in July 2024. Refer to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primarily consists of interest earned from available on demand bank deposits, time deposits, money market funds, and marketable securities, including amortization of discounts and premiums on our marketable securities.</w:t>
      </w:r>
    </w:p>
    <w:p>
      <w:pPr>
        <w:pStyle w:val="TextBody"/>
        <w:bidi w:val="0"/>
        <w:jc w:val="left"/>
        <w:rPr/>
      </w:pPr>
      <w:r>
        <w:rPr/>
        <w:t> </w:t>
      </w:r>
    </w:p>
    <w:tbl>
      <w:tblPr>
        <w:tblW w:w="4318" w:type="dxa"/>
        <w:jc w:val="left"/>
        <w:tblInd w:w="0" w:type="dxa"/>
        <w:tblLayout w:type="fixed"/>
        <w:tblCellMar>
          <w:top w:w="28" w:type="dxa"/>
          <w:left w:w="28" w:type="dxa"/>
          <w:bottom w:w="28" w:type="dxa"/>
          <w:right w:w="28" w:type="dxa"/>
        </w:tblCellMar>
      </w:tblPr>
      <w:tblGrid>
        <w:gridCol w:w="1366"/>
        <w:gridCol w:w="146"/>
        <w:gridCol w:w="211"/>
        <w:gridCol w:w="466"/>
        <w:gridCol w:w="146"/>
        <w:gridCol w:w="146"/>
        <w:gridCol w:w="211"/>
        <w:gridCol w:w="466"/>
        <w:gridCol w:w="146"/>
        <w:gridCol w:w="146"/>
        <w:gridCol w:w="211"/>
        <w:gridCol w:w="46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$9 million during the year ended December 31, 2025 when compared to the same period in 2024, primarily due to a decrease in interest rates received on demand bank deposits, time deposits, and money market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 of debt, and other non-operating income (expenses). </w:t>
      </w:r>
    </w:p>
    <w:p>
      <w:pPr>
        <w:pStyle w:val="TextBody"/>
        <w:bidi w:val="0"/>
        <w:jc w:val="left"/>
        <w:rPr/>
      </w:pPr>
      <w:r>
        <w:rPr/>
        <w:t> </w:t>
      </w:r>
    </w:p>
    <w:tbl>
      <w:tblPr>
        <w:tblW w:w="5368" w:type="dxa"/>
        <w:jc w:val="left"/>
        <w:tblInd w:w="0" w:type="dxa"/>
        <w:tblLayout w:type="fixed"/>
        <w:tblCellMar>
          <w:top w:w="28" w:type="dxa"/>
          <w:left w:w="28" w:type="dxa"/>
          <w:bottom w:w="28" w:type="dxa"/>
          <w:right w:w="28" w:type="dxa"/>
        </w:tblCellMar>
      </w:tblPr>
      <w:tblGrid>
        <w:gridCol w:w="2386"/>
        <w:gridCol w:w="146"/>
        <w:gridCol w:w="211"/>
        <w:gridCol w:w="526"/>
        <w:gridCol w:w="166"/>
        <w:gridCol w:w="146"/>
        <w:gridCol w:w="211"/>
        <w:gridCol w:w="421"/>
        <w:gridCol w:w="166"/>
        <w:gridCol w:w="146"/>
        <w:gridCol w:w="211"/>
        <w:gridCol w:w="42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expense, net increased $4 million during the year ended December 31, 2025 when compared to the same period in 2024, primarily due to net foreign exchange losses incurred as a result of foreign currency rate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movements during the period, partially offset by a loss on extinguishment of debt of $2 million during 2024, primarily consisting of a non-cash write-off of unamortized debt issuance costs, which did not reoccur in 2025. Refer to “Note 16: </w:t>
      </w:r>
      <w:r>
        <w:rPr>
          <w:rFonts w:ascii="Times New Roman" w:hAnsi="Times New Roman"/>
          <w:i/>
          <w:color w:val="000000"/>
          <w:sz w:val="20"/>
        </w:rPr>
        <w:t>Other Income (Expense), Net</w:t>
      </w:r>
      <w:r>
        <w:rPr>
          <w:rFonts w:ascii="Times New Roman" w:hAnsi="Times New Roman"/>
          <w:color w:val="000000"/>
          <w:sz w:val="20"/>
        </w:rPr>
        <w:t>” in the notes to our consolidated financial statements in Item 8 of this Annual Report on Form 10-K for additional information.</w:t>
      </w:r>
    </w:p>
    <w:p>
      <w:pPr>
        <w:pStyle w:val="TextBody"/>
        <w:bidi w:val="0"/>
        <w:spacing w:before="360" w:after="120"/>
        <w:jc w:val="left"/>
        <w:rPr>
          <w:rFonts w:ascii="Times New Roman" w:hAnsi="Times New Roman"/>
          <w:sz w:val="20"/>
        </w:rPr>
      </w:pPr>
      <w:r>
        <w:rPr>
          <w:rFonts w:ascii="Times New Roman" w:hAnsi="Times New Roman"/>
          <w:b/>
          <w:i/>
          <w:color w:val="000000"/>
          <w:sz w:val="20"/>
        </w:rPr>
        <w:t>(Provision) Benefit for Income Taxes</w:t>
      </w:r>
      <w:r>
        <w:rPr>
          <w:rFonts w:ascii="Times New Roman" w:hAnsi="Times New Roman"/>
          <w:color w:val="000000"/>
          <w:sz w:val="20"/>
        </w:rPr>
        <w:t xml:space="preserve"> </w:t>
      </w:r>
    </w:p>
    <w:p>
      <w:pPr>
        <w:pStyle w:val="TextBody"/>
        <w:bidi w:val="0"/>
        <w:jc w:val="left"/>
        <w:rPr/>
      </w:pPr>
      <w:r>
        <w:rPr/>
        <w:t> </w:t>
      </w:r>
    </w:p>
    <w:tbl>
      <w:tblPr>
        <w:tblW w:w="6568" w:type="dxa"/>
        <w:jc w:val="left"/>
        <w:tblInd w:w="0" w:type="dxa"/>
        <w:tblLayout w:type="fixed"/>
        <w:tblCellMar>
          <w:top w:w="28" w:type="dxa"/>
          <w:left w:w="28" w:type="dxa"/>
          <w:bottom w:w="28" w:type="dxa"/>
          <w:right w:w="28" w:type="dxa"/>
        </w:tblCellMar>
      </w:tblPr>
      <w:tblGrid>
        <w:gridCol w:w="3016"/>
        <w:gridCol w:w="146"/>
        <w:gridCol w:w="211"/>
        <w:gridCol w:w="466"/>
        <w:gridCol w:w="271"/>
        <w:gridCol w:w="146"/>
        <w:gridCol w:w="211"/>
        <w:gridCol w:w="526"/>
        <w:gridCol w:w="271"/>
        <w:gridCol w:w="146"/>
        <w:gridCol w:w="211"/>
        <w:gridCol w:w="631"/>
        <w:gridCol w:w="31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effective tax rate was lower than the U.S. federal statutory rate of 21% during the year ended December 31, 2025, primarily due to a discrete tax benefit of $11 million recorded during the first quarter of 2025 to release income tax reserves as a result of the U.S. federal statute of limitation of assessment closing on tax years 2014, 2015, and 2016, and a U.S. tax benefit of $11 million related to foreign derived intangible income.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recorded a total income tax provision of $5 million for the year ended December 31, 2025. The change in our income taxes and our effective tax rate during the year ended December 31, 2025, when compared to the same period in 2024, was primarily the result of an Internal Revenue Service (“IRS”) audit settlement for the 2014, 2015, and 2016 tax years of $41 million, recorded during the year ended December 31 2024, which did not reoccur in 2025, as well as a discrete tax benefit of $11 million recorded during the first quarter of 2025 to release income tax reserves as a result of the U.S. federal statute of limitation of assessment closing on tax years 2014, 2015, and 2016, as discussed above, and a decrease in pretax income. Refer to “Note 10: </w:t>
      </w:r>
      <w:r>
        <w:rPr>
          <w:rFonts w:ascii="Times New Roman" w:hAnsi="Times New Roman"/>
          <w:i/>
          <w:color w:val="000000"/>
          <w:sz w:val="20"/>
        </w:rPr>
        <w:t>Income Taxes</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360" w:after="120"/>
        <w:jc w:val="left"/>
        <w:rPr>
          <w:rFonts w:ascii="Times New Roman" w:hAnsi="Times New Roman"/>
          <w:sz w:val="20"/>
        </w:rPr>
      </w:pPr>
      <w:r>
        <w:rPr>
          <w:rFonts w:ascii="Times New Roman" w:hAnsi="Times New Roman"/>
          <w:b/>
          <w:color w:val="000000"/>
          <w:sz w:val="20"/>
        </w:rPr>
        <w:t>Net income (loss)</w:t>
      </w:r>
      <w:r>
        <w:rPr>
          <w:rFonts w:ascii="Times New Roman" w:hAnsi="Times New Roman"/>
          <w:color w:val="000000"/>
          <w:sz w:val="20"/>
        </w:rPr>
        <w:t xml:space="preserve"> </w:t>
      </w:r>
    </w:p>
    <w:p>
      <w:pPr>
        <w:pStyle w:val="TextBody"/>
        <w:bidi w:val="0"/>
        <w:jc w:val="left"/>
        <w:rPr/>
      </w:pPr>
      <w:r>
        <w:rPr/>
        <w:t> </w:t>
      </w:r>
    </w:p>
    <w:tbl>
      <w:tblPr>
        <w:tblW w:w="5643" w:type="dxa"/>
        <w:jc w:val="left"/>
        <w:tblInd w:w="0" w:type="dxa"/>
        <w:tblLayout w:type="fixed"/>
        <w:tblCellMar>
          <w:top w:w="28" w:type="dxa"/>
          <w:left w:w="28" w:type="dxa"/>
          <w:bottom w:w="28" w:type="dxa"/>
          <w:right w:w="28" w:type="dxa"/>
        </w:tblCellMar>
      </w:tblPr>
      <w:tblGrid>
        <w:gridCol w:w="2346"/>
        <w:gridCol w:w="146"/>
        <w:gridCol w:w="211"/>
        <w:gridCol w:w="466"/>
        <w:gridCol w:w="271"/>
        <w:gridCol w:w="146"/>
        <w:gridCol w:w="211"/>
        <w:gridCol w:w="361"/>
        <w:gridCol w:w="271"/>
        <w:gridCol w:w="146"/>
        <w:gridCol w:w="211"/>
        <w:gridCol w:w="466"/>
        <w:gridCol w:w="391"/>
      </w:tblGrid>
      <w:tr>
        <w:trPr/>
        <w:tc>
          <w:tcPr>
            <w:tcW w:w="2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Net income increased $35 million during the year ended December 31, 2025 when compared to the same period in 2024. The improvement in net income was largely driven by an increase in revenue, as described in more detail above under “</w:t>
      </w:r>
      <w:r>
        <w:rPr>
          <w:rFonts w:ascii="Times New Roman" w:hAnsi="Times New Roman"/>
          <w:i/>
          <w:color w:val="000000"/>
          <w:sz w:val="20"/>
        </w:rPr>
        <w:t>Revenue and Segment Information</w:t>
      </w:r>
      <w:r>
        <w:rPr>
          <w:rFonts w:ascii="Times New Roman" w:hAnsi="Times New Roman"/>
          <w:color w:val="000000"/>
          <w:sz w:val="20"/>
        </w:rPr>
        <w:t>”, a decrease in income tax expense of $77 million, as described in more detail above under “</w:t>
      </w:r>
      <w:r>
        <w:rPr>
          <w:rFonts w:ascii="Times New Roman" w:hAnsi="Times New Roman"/>
          <w:i/>
          <w:color w:val="000000"/>
          <w:sz w:val="20"/>
        </w:rPr>
        <w:t>(Provision) Benefit for Income Taxes</w:t>
      </w:r>
      <w:r>
        <w:rPr>
          <w:rFonts w:ascii="Times New Roman" w:hAnsi="Times New Roman"/>
          <w:color w:val="000000"/>
          <w:sz w:val="20"/>
        </w:rPr>
        <w:t>” and, to a lesser extent, a decrease in personnel costs and general and administrative costs, as described in more detail above under “</w:t>
      </w:r>
      <w:r>
        <w:rPr>
          <w:rFonts w:ascii="Times New Roman" w:hAnsi="Times New Roman"/>
          <w:i/>
          <w:color w:val="000000"/>
          <w:sz w:val="20"/>
        </w:rPr>
        <w:t>Consolidated Expenses.</w:t>
      </w:r>
      <w:r>
        <w:rPr>
          <w:rFonts w:ascii="Times New Roman" w:hAnsi="Times New Roman"/>
          <w:color w:val="000000"/>
          <w:sz w:val="20"/>
        </w:rPr>
        <w:t>” These improvements were partially offset by increased marketing costs across all segments and, to a lesser extent, increased pre-tax restructuring and other related reorganization costs of approximately $22 million, as well as an increase in borrowing costs and a reduction in interest income during the year ended December 31, 2025, all of which is described in more detail above under “</w:t>
      </w:r>
      <w:r>
        <w:rPr>
          <w:rFonts w:ascii="Times New Roman" w:hAnsi="Times New Roman"/>
          <w:i/>
          <w:color w:val="000000"/>
          <w:sz w:val="20"/>
        </w:rPr>
        <w:t>Consolidated Expenses.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and (9) non-recurring expenses and income unusual in nature or infrequently occurring.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limitations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consider the potentially dilutive impact of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tax payments that may represent a reduction in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unaudited and does not conform to SEC Regulation S-X, and as a result such information may be presented differently in our future filings with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own industry, may calculate Adjusted EBITDA differently than we do,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limitations apply also to Adjusted EBITDA Margin.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Adjusted EBITDA to Net Income (Loss), the most directly comparable financial measure calculated and presented in accordance with GAAP, for the periods presented: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4771"/>
        <w:gridCol w:w="146"/>
        <w:gridCol w:w="211"/>
        <w:gridCol w:w="571"/>
        <w:gridCol w:w="166"/>
        <w:gridCol w:w="146"/>
        <w:gridCol w:w="211"/>
        <w:gridCol w:w="571"/>
        <w:gridCol w:w="146"/>
        <w:gridCol w:w="146"/>
        <w:gridCol w:w="211"/>
        <w:gridCol w:w="571"/>
        <w:gridCol w:w="1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Restructuring and other related reorganization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Legal reserves, settlements and 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Transaction related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 xml:space="preserve">During the year ended December 31, 2024, we recorded an estimated accrual for the potential settlement of a regulatory related matter of $10 million, which was settled during 2025 resulting in a decrease in the accrual of $4 million, all of which is reflected in general and administrative expenses on our consolidated statement of operations. Refer to "Note 11: </w:t>
      </w:r>
      <w:r>
        <w:rPr>
          <w:rFonts w:ascii="Times New Roman" w:hAnsi="Times New Roman"/>
          <w:i/>
          <w:color w:val="000000"/>
          <w:sz w:val="16"/>
        </w:rPr>
        <w:t>Commitments and Contingencies</w:t>
      </w:r>
      <w:r>
        <w:rPr>
          <w:rFonts w:ascii="Times New Roman" w:hAnsi="Times New Roman"/>
          <w:color w:val="000000"/>
          <w:sz w:val="16"/>
        </w:rPr>
        <w:t xml:space="preserve">" for further information. In addition, this amount includes a one-time charge of $3 million during the year ended December 31, 2024, resulting from enacted digital service tax legislation in Canada in June 2024, which required retrospective application back to January 1, 2022. This amount represents the one-time retrospective liability for the periods prior to April 1, 2024, while all prospective periods are included within adjusted EBITDA. This cost is reflected in cost of sales on our consolidated statement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expensed certain transaction related costs of $3 million during both the years ended December 31, 2024 and 2023, to general and administrative expenses on our consolidated statements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source of liquidity is cash flow generated from operations and our existing cash and cash equivalents balance. Our liquidity needs can also be met through drawdowns under the Credit Facility. As of December 31, 2025 and 2024, we had approximately $1.0 billion and $1.1 billion, respectively, of cash and cash equivalents, and $496 million of available borrowing capacity under the Credit Facility as of December 31, 2025. As of December 31, 2025, approximately $241 million of our cash and cash equivalents were held by our international subsidiaries outside of the U.S., of which approximately 40% was held in the U.K. As of December 31, 2025, the significant majority of our cash was denominated in U.S. dollars.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2025, we had $584 million of cumulative undistributed earnings in foreign subsidiaries which were no longer considered to be indefinitely reinvested. As of December 31, 2025, we maintained a deferred income tax liability on our consolidated balance sheet, which was not material, for the U.S. federal and state income tax and foreign withholding tax liabilities on the cumulative undistributed foreign earnings that we no longer consider indefinitely reinvested. Refer to “Note 10: </w:t>
      </w:r>
      <w:r>
        <w:rPr>
          <w:rFonts w:ascii="Times New Roman" w:hAnsi="Times New Roman"/>
          <w:i/>
          <w:color w:val="000000"/>
          <w:sz w:val="20"/>
        </w:rPr>
        <w:t>Income Taxes</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December 31, 2025, we are party to the Amended Credit Agreement, which, among other things, provides for a $500 million revolving Credit Facility with a maturity date of June 29, 2028. As of December 31, 2025 and 2024, we had no outstanding borrowings under the Credit Facility. The Company may borrow from the Credit Facility in U.S. dollars, Euros and Sterling. For information regarding interest rates on potential borrowings under the Credit Facility refer to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 We are required to pay a quarterly commitment fee, at an applicable rate ranging from 0.25% to 0.40%, on the daily unused portion of the Credit Facility for each fiscal quarter and in connection with the issuance of letters of credit. As of December 31, 2025,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December 31, 2025 and 2024,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an outstanding principal amount of $354 million and $831 million in short-term debt and long-term debt, respectively, on our consolidated balance sheet pertaining to the 2026 Senior Notes and Term Loan B Facility, both of which are discussed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principal under the 2026 Senior Notes of $345 million provides, among other things, that interest at a rate of 0.25% per annum is payable on April 1 and October 1 of each year, until their maturity on April 1, 2026, which the Company expects to repay using its existing cash and cash equivalents. The 2026 Senior Notes are senior unsecured obligations of the Company, although unconditionally guaranteed on a joint and several basis, by certain of the Company’s domestic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8, 2024, under the Amended Credit Agreement, the Company issued a $500 million Term Loan B Facility maturing July 8, 2031, with an interest rate based on secured overnight financing rate (“SOFR”) plus 2.75%, payable monthly. On July 15, 2024, the Company used these funds to fully redeem its outstanding $500 million, 2025 Senior Notes. The Term Loan B Facility was offered at 99.75% of par. On March 20, 2025, under the Amended Credit Agreement, the Company increased its existing Term Loan B Facility by $350 million, maturing July 8, 2031, with an interest rate based on SOFR plus 2.75% (the “Tack-On Incremental Term Loan B Facility”). We expect the proceeds from the Tack-On Incremental Term Loan B Facility will be used to fund the repurchase, repayment or redemption of the Company's outstanding 2026 Senior Notes, as discussed above, and for general corporate purposes. The Tack-On Incremental Term Loan B Facility was offered at 98.56% of par. We refer to the Term Loan B Facility, combined with the Tack-On Incremental Term Loan B Facility, as the “Term Loan B Facility.”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$9 million were made under the Term Loan B Facility during the year ended December 31, 2025.</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2026 Senior Notes are not registered securities and there are currently no plans to register these notes as securities in the future. We may from time to time repurchase the 2026 Senior Notes and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and 2026 Senior Notes, refer to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w:t>
      </w:r>
    </w:p>
    <w:p>
      <w:pPr>
        <w:pStyle w:val="TextBody"/>
        <w:bidi w:val="0"/>
        <w:spacing w:before="240" w:after="283"/>
        <w:jc w:val="left"/>
        <w:rPr>
          <w:rFonts w:ascii="Times New Roman" w:hAnsi="Times New Roman"/>
          <w:sz w:val="20"/>
        </w:rPr>
      </w:pPr>
      <w:r>
        <w:rPr>
          <w:rFonts w:ascii="Times New Roman" w:hAnsi="Times New Roman"/>
          <w:i/>
          <w:color w:val="000000"/>
          <w:sz w:val="20"/>
        </w:rPr>
        <w:t>Significant uses of capital and other liquidity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 2019, our Board of Directors authorized the repurchase of an additional $100 million in shares of our common stock under an existing share repurchase program, which increased the amount available to the Company under this share repurchase program to $250 million. During the second quarter of 2023, we repurchased 4,724,729 shares of our outstanding common stock at an average price of $15.85 per share, exclusive of fees, commissions, and excise taxes, or $75 million in the aggregate, which completed this 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7, 2023, our Board of Directors authorized the repurchase of $250 million in shares of our common stock under a new share repurchase program. This share repurchase program does not have a fixed expiration date or obligate the Company to acquire any particular number of shares and may be modified, suspended or discontinued at any time. During the year ended December 31, 2023, we repurchased 1,324,524 shares of our outstanding common stock at an average price of $18.85 per share, exclusive of fees, commissions, and excise taxes, or $25 million, under this share repurchase program. During the year ended December 31, 2024, the Company repurchased 1,366,385 shares of its common stock at an average price of $18.28 per share, exclusive of fees, commissions, and excise taxes, or $25 million in the aggregate. During the year ended December 31, 2025, the Company repurchased 6,105,262 shares of its common stock at an average price of $14.72 per share, exclusive of fees, commissions, and excise taxes, or $90 million in the aggregate. As of December 31, 2025, there was $110 million remaining available to repurchase shares of its common stock under this share repurchase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typically experiences seasonal fluctuations that affect the timing of our annual cash flows during the year related to working capital. As a result of our experience bookings, we generally receive cash from travelers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described above, on April 29, 2025, the Merger with LTRIP closed. The aggregate transaction price of the Merger totaled $437 million, of which $411 million consisted of cash payments made by the Company. Refer to “Note 1: </w:t>
      </w:r>
      <w:r>
        <w:rPr>
          <w:rFonts w:ascii="Times New Roman" w:hAnsi="Times New Roman"/>
          <w:i/>
          <w:color w:val="000000"/>
          <w:sz w:val="20"/>
        </w:rPr>
        <w:t>Organization and Business Description</w:t>
      </w:r>
      <w:r>
        <w:rPr>
          <w:rFonts w:ascii="Times New Roman" w:hAnsi="Times New Roman"/>
          <w:color w:val="000000"/>
          <w:sz w:val="20"/>
        </w:rPr>
        <w:t>” in the notes to our consolidated financial statements in Item 8 of this Annual Report on Form 10-K for further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10: </w:t>
      </w:r>
      <w:r>
        <w:rPr>
          <w:rFonts w:ascii="Times New Roman" w:hAnsi="Times New Roman"/>
          <w:i/>
          <w:color w:val="000000"/>
          <w:sz w:val="20"/>
        </w:rPr>
        <w:t>Income Taxes</w:t>
      </w:r>
      <w:r>
        <w:rPr>
          <w:rFonts w:ascii="Times New Roman" w:hAnsi="Times New Roman"/>
          <w:color w:val="000000"/>
          <w:sz w:val="20"/>
        </w:rPr>
        <w:t>” in the notes to our consolidated financial statements in Item 8 of this Annual Report on Form 10-K, we received a final notice regarding a MAP resolution agreement for the 2014 through 2016 tax years in January 2024, which we subsequently accepted in February 2024. In connection with this IRS audit settlement: (i) during the second quarter of 2024, we made a payment to the IRS of $141 million, inclusive of estimated interest, (ii) during the second half of 2024, we made various state tax payments totaling $26 million, inclusive of estimated interest, related to this audit settlement; and (iii) during the fourth quarter of 2024, we received a competent authority refund of $42 million, inclusive of net interest income, from a foreign jurisdiction. This audit settlement resulted in total net operating cash outflow during 2024 of $105 million, which includes federal tax benefits from these payments of $20 million.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as discussed in “Note 10: </w:t>
      </w:r>
      <w:r>
        <w:rPr>
          <w:rFonts w:ascii="Times New Roman" w:hAnsi="Times New Roman"/>
          <w:i/>
          <w:color w:val="000000"/>
          <w:sz w:val="20"/>
        </w:rPr>
        <w:t>Income Taxes</w:t>
      </w:r>
      <w:r>
        <w:rPr>
          <w:rFonts w:ascii="Times New Roman" w:hAnsi="Times New Roman"/>
          <w:color w:val="000000"/>
          <w:sz w:val="20"/>
        </w:rPr>
        <w:t>” in the notes to our consolidated financial statements in Item 8 of this Annual Report on Form 10-K, we received a final notice regarding a MAP settlement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this IRS audit settlement. This audit settlement resulted in a total net operating cash outflow during 2023 of $70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January 2021, we received an issue closure notice from HM Revenue &amp; Customs (“HMRC”) in the U.K.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We are also currently subject to audit by HMRC in tax years 2017 through 2023.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available cash and cash equivalents will be sufficient to fund our foreseeable working capital requirements, capital expenditures, existing business growth initiatives, debt and interest obligations, including repayment of its 2026 Senior Notes on April 1, 2026,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flows from operating, investing and financing activities, as reflected in our consolidated statements of cash flows, are summarized in the following table:</w:t>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2656"/>
        <w:gridCol w:w="146"/>
        <w:gridCol w:w="211"/>
        <w:gridCol w:w="481"/>
        <w:gridCol w:w="166"/>
        <w:gridCol w:w="146"/>
        <w:gridCol w:w="211"/>
        <w:gridCol w:w="421"/>
        <w:gridCol w:w="166"/>
        <w:gridCol w:w="146"/>
        <w:gridCol w:w="211"/>
        <w:gridCol w:w="48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our primary source of cash was from operations, while our primary use of cash was from financing activities (including $411 million to repurchase our outstanding common stock pursuant to the Merger, $90 million in repurchases of our outstanding common stock under the existing share repurchase program, and $20 million in payments of withholding taxes on net share settlements of equity awards), and investing activities (including $82 million in capital expenditures). This use of cash was funded with existing cash and cash equivalents and operating cash flows generated during the period, as well as, financing activities which includes $341 million in borrowings from our Tack-On Incremental Term Loan B Facility, net of financing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for the year ended December 31, 2025, increased by $101 million when compared to the same period in 2024, primarily due to an increase in working capital of $50 million, and to a lesser extent, an increase in net income of $35 million and an increase in non-cash items of $16 million. The increase in working capital was primarily driven by an IRS audit settlement, as discussed above, which resulted in a net operating cash outflow during 2024 of $105 million which did not reoccur in 2025, partially offset by a decrease in our income tax provision of approximately $77 million, as discussed above under “(Provision) Benefit for Income Taxes.” In addition, changes related to the timing of collection of cash from customers, the timing of vendor payments and deferred merchant payments to experiences operators, contributed to the fluctuation in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2025 increased by $11 million when compared to the same period in 2024, largely due to an increase in capital investment primarily in technology and office space across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year ended December 31, 2025 increased by $134 million when compared to the same period in 2024, primarily due to $411 million for the repurchase of our outstanding common stock pursuant to the Merger, a $65 million increase in net cash used to repurchase shares of our outstanding common stock under the existing share repurchase program, and a net decrease in proceeds received from the issuance of debt under the Term Loan B Facility during 2025 of $152 million, net of financing costs, partially offset by the repayment of the 2025 Senior Notes of $500 million during 2024.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current and long-term material cash requirements, both accrued and off-balance sheet, as of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39"/>
        <w:gridCol w:w="146"/>
        <w:gridCol w:w="211"/>
        <w:gridCol w:w="571"/>
        <w:gridCol w:w="146"/>
        <w:gridCol w:w="146"/>
        <w:gridCol w:w="255"/>
        <w:gridCol w:w="511"/>
        <w:gridCol w:w="146"/>
        <w:gridCol w:w="146"/>
        <w:gridCol w:w="310"/>
        <w:gridCol w:w="620"/>
        <w:gridCol w:w="146"/>
        <w:gridCol w:w="146"/>
        <w:gridCol w:w="310"/>
        <w:gridCol w:w="620"/>
        <w:gridCol w:w="146"/>
        <w:gridCol w:w="146"/>
        <w:gridCol w:w="283"/>
        <w:gridCol w:w="566"/>
        <w:gridCol w:w="195"/>
      </w:tblGrid>
      <w:tr>
        <w:trPr/>
        <w:tc>
          <w:tcPr>
            <w:tcW w:w="4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Period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5"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Term Loan B Facility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interest payments on Term Loan B Facility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2026 Senior Notes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Finance lease obligations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commitment fee payments on Credit Facility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Purchase obligations and other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w:t>
            </w:r>
            <w:r>
              <w:rPr>
                <w:rFonts w:ascii="Times New Roman" w:hAnsi="Times New Roman"/>
                <w:color w:val="000000"/>
                <w:sz w:val="13"/>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outstanding principal on our Term Loan B Facility due July 2031 and assumes that existing debt is repaid at maturity.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Expected interest payments on our Term Loan B Facility are based on the effective interest rate as of December 31, 2025, however, this effective interest rate is variable and could change significantly in the future. Amount assumes that our existing debt is repaid at maturity.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outstanding principal on our 2026 Senior Notes due April 1, 2026 and assumes that existing debt is repaid in cash at maturity.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Estimated undiscounted future lease payments for our corporate headquarters in Needham, Massachusetts. These amounts exclude expected rental income under non-cancelable subleases.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Estimated undiscounted future lease payments for our operating leases, primarily for office space, with non-cancelable lease terms. These amounts exclude expected rental income under non-cancelable subleases.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Expected commitment fee payments are based on the daily unused portion of the Credit Facility, issued letters of credit, and the effective commitment fee rate as of December 31, 2025; however, these variables could change significantly in the future.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Estimated purchase obligations that are fixed and determinable, primarily related to telecommunication and licensing contracts, with various expiration dates through December 2030.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Excluded from the table is $73 million of unrecognized tax benefits, including interest, which is included in other long-term liabilities on our consolidated balance sheet as of December 31, 2025, for which we cannot make a reasonably reliable estimate of the amount and period of payment.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jc w:val="left"/>
        <w:rPr>
          <w:rFonts w:ascii="Times New Roman" w:hAnsi="Times New Roman"/>
          <w:color w:val="000000"/>
          <w:sz w:val="16"/>
        </w:rPr>
      </w:pPr>
      <w:r>
        <w:rPr>
          <w:rFonts w:ascii="Times New Roman" w:hAnsi="Times New Roman"/>
          <w:color w:val="000000"/>
          <w:sz w:val="16"/>
        </w:rPr>
        <w:t>Excluded from the table is $4 million of undrawn standby letters of credit used primarily as security deposits for certain office space leases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other than the items discussed above, we did not have any off-balance sheet arrangements, that have, or are reasonably likely to have, a current or future effect on our financial condition, results of operations, liquidity, capital expenditures or capital resources. </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leased approximately 280,000 square feet of office space for our corporate headquarters in Needham, Massachusetts, which has an expiration date of December 2030 and an option to extend the lease term for two consecutive terms of five years each. We account for this lease as a finance lease as of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our corporate headquarters lease, we have contractual obligations in the form of operating leases for office space, in which we lease an aggregate of approximately 172,000 square feet, at nearly 25 other locations across North America, Europe and Asia Pacific, in cities such as New York, London, Singapore, Barcelona and Paris, primarily used for sales offices, subsidiary headquarters, and international management teams, pursuant to leases with various expiration dates, with the latest expiring in December 2034.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Routinely,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Refer to “Note 10: </w:t>
      </w:r>
      <w:r>
        <w:rPr>
          <w:rFonts w:ascii="Times New Roman" w:hAnsi="Times New Roman"/>
          <w:i/>
          <w:color w:val="000000"/>
          <w:sz w:val="20"/>
        </w:rPr>
        <w:t>Income Taxes</w:t>
      </w:r>
      <w:r>
        <w:rPr>
          <w:rFonts w:ascii="Times New Roman" w:hAnsi="Times New Roman"/>
          <w:color w:val="000000"/>
          <w:sz w:val="20"/>
        </w:rPr>
        <w:t xml:space="preserve">” and “Note 11: </w:t>
      </w:r>
      <w:r>
        <w:rPr>
          <w:rFonts w:ascii="Times New Roman" w:hAnsi="Times New Roman"/>
          <w:i/>
          <w:color w:val="000000"/>
          <w:sz w:val="20"/>
        </w:rPr>
        <w:t>Commitments and Contingencies</w:t>
      </w:r>
      <w:r>
        <w:rPr>
          <w:rFonts w:ascii="Times New Roman" w:hAnsi="Times New Roman"/>
          <w:color w:val="000000"/>
          <w:sz w:val="20"/>
        </w:rPr>
        <w:t>” in the notes to our consolidated financial statements in Item 8 of this Annual Report on Form 10-K for further information on other potential contingencies, including ongoing audits by the IRS and various other domestic and foreign tax authorities, and other tax and legal matters. Over recent years, the Organization for Economic Cooperation and Development (“OECD”) through its “Inclusive Framework” has been working on a “two-pillar” global tax consensus project that, if implemented, would result in certain changes to the current global tax regulatory framework. The OECD’s “Pillar One” initiative proposes to reallocate certain profits from the largest and most profitable multinational businesses to countries where the customers of those businesses are located, and the “Pillar Two” initiative proposes a global minimum income tax rate on corporations of 15%. In response to these proposals, certain jurisdictions have enacted legislation to implement a global minimum income tax of 15%, which currently has no material impact on our financial results, as well as legislation to impose new forms of gross receipts taxes, such as digital services taxes imposed on digital advertising and online marketplace platforms/services. On January 5, 2026, the OECD/G20 announced the Side-by-Side (SbS) package, implemented as administrative guidance and modifying the operation of Pillar 2 rules. The package introduces simplifications and new safe harbors for U.S. and other multinational companies where domestic and international tax systems meet robust requirements to coexist with Pillar 2, which would fully exempt U.S.-parented groups from the application of two of the three Pillar 2 top-up taxes. This does not have a material impact on Tripadvisor.</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consensus is reached on Pillar One, unilateral digital services taxes is expected to be repealed, however until such time we continue to be subject to these taxes and are currently subject to unilateral digital services taxes. While the future of the global tax regulatory landscape remains uncertain, we continue to monitor the OECD’s and members ongoing discussions to determine the current and potential impact on our consolidated financial statements. During the years ended December 31, 2025, 2024 and 2023, we recorded $16 million, $18 million and $18 million, respectively, of digital service taxes to cost of sales on our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liability has been accrued on our consolidated balance sheet, which was not material as of December 31, 2025. As of December 31, 2025, $584 million of our cumulative undistributed foreign earnings were no longer considered to be indefinitely reinvested.</w:t>
      </w:r>
    </w:p>
    <w:p>
      <w:pPr>
        <w:pStyle w:val="TextBody"/>
        <w:bidi w:val="0"/>
        <w:spacing w:before="360" w:after="283"/>
        <w:jc w:val="left"/>
        <w:rPr>
          <w:rFonts w:ascii="Times New Roman" w:hAnsi="Times New Roman"/>
          <w:sz w:val="20"/>
        </w:rPr>
      </w:pPr>
      <w:bookmarkStart w:id="15" w:name="item_7a_quantitative_and_qualitative_dis"/>
      <w:bookmarkEnd w:id="15"/>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Risk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2026 Senior Notes and Term Loan B Facility,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exposure to changes in interest rates relates primarily to our cash, cash equivalents, investment portfolio at any point in time, 2026 Senior Notes and Term Loan B Facility, and borrowings, if any, under the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interest rates affect the amount of interest earned on our cash, cash equivalents, and marketable securities, if any, and the fair value of those securities. Our interest income and expense are most sensitive to fluctuations in U.S. interest rates. We generally invest our excess cash in available on demand bank deposits and time deposits at major global financial institutions, money market funds, and marketable securities. Our investment policy and strategy is focused on capital preservation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respectively, we had no outstanding marketable securities in our investment portfolio, and no outstanding borrowings under the Credit Facility. In March 2021, we issued the 2026 Senior Notes with a principal balance of $345 million at a fixed rate of 0.25% and in July 2024 and March 2025, in total, we borrowed a principal balance of $850 million under the Term Loan B Facility at a variable rate equal to SOFR plus 2.75%. Based on the current outstanding balance under the Term Loan B Facility as of December 31, 2025, a 25 basis-point change in our interest rates on the Term Loan B Facility would result in an increase or decrease in our interest expense of approximately $2 million per annum. As of December 31, 2025, we estimated the fair value of the 2026 Senior Notes and Term Loan B Facility were approximately $340 million and $821 million, respectively, based on recently reported market transactions and prices for identical or similar financial instruments obtained from a third-party pricing source. Since the 2026 Senior Notes bear interest at a fixed rate, we are more sensitive to the capital market conditions of our common shares than changes in interest rates. The fair value of the 2026 Senior Notes and Term Loan B Facility will likely change based on the capital market conditions.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3: </w:t>
      </w:r>
      <w:r>
        <w:rPr>
          <w:rFonts w:ascii="Times New Roman" w:hAnsi="Times New Roman"/>
          <w:i/>
          <w:color w:val="000000"/>
          <w:sz w:val="20"/>
        </w:rPr>
        <w:t>Financial Instruments and Fair Value Measurements</w:t>
      </w:r>
      <w:r>
        <w:rPr>
          <w:rFonts w:ascii="Times New Roman" w:hAnsi="Times New Roman"/>
          <w:color w:val="000000"/>
          <w:sz w:val="20"/>
        </w:rPr>
        <w:t xml:space="preserve">” and “Note 8: </w:t>
      </w:r>
      <w:r>
        <w:rPr>
          <w:rFonts w:ascii="Times New Roman" w:hAnsi="Times New Roman"/>
          <w:i/>
          <w:color w:val="000000"/>
          <w:sz w:val="20"/>
        </w:rPr>
        <w:t>Debt</w:t>
      </w:r>
      <w:r>
        <w:rPr>
          <w:rFonts w:ascii="Times New Roman" w:hAnsi="Times New Roman"/>
          <w:color w:val="000000"/>
          <w:sz w:val="20"/>
        </w:rPr>
        <w:t>” in the notes to our consolidated financial statements in Item 8 of this Annual Report on Form 10-K for further information on our cash and cash equivalents, investments and other financial instruments, 2026 Senior Notes, Term Loan B Facility and the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hedge our interest rate risk; however, we are continually evaluating the interest rate market, and if we become increasingly exposed to potentially volatile movements in interest rates, and if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movements are material, this could cause us to adjust our financing strategy. We did not experience material changes in interest rate exposures or any material financial impact from adverse changes in interest rates for the years ended December 31, 2025, 2024 or 2023.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business in certain international markets, largely in Europe, and in countries such as Singapore and Australia. Because we operate in international markets, we have exposure to different economic climates, political arenas, tax systems and regulations that could affect foreign currency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 currency 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in our significant international markets relative to the U.S. dollar, or strengthening of the U.S. dollar, would generate an estimated unrealized loss of approximately $42 million related to a decrease in our net assets as of December 31, 2025, which would initially be recorded to accumulated other comprehensive income (loss) on our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$7 million, $3 million and $5 million for the years ended December 31, 2025, 2024 and 2023, respectively,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exposure to foreign currency risk through internally established policies and procedures. To the extent practicable, we minimize our foreign currency exposures by maintaining natural hedges (i.e., self-hedging) between our current assets and current liabilities in similarly denominated foreign currencies, as well as using derivative financial instruments. We typically use foreign currency forward exchange contracts (“forward contracts”) to manage certain short-term foreign currency risk to attempt to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no outstanding forward contracts as of December 31, 2025 and had outstanding forward contracts as of December 31, 2024, with a total notional value of $11 million. These forward contracts were not designated as hedges and had maturities of less than 90 days. We recognize gains and losses from forward contracts in other income (expense), net on our consolidated statement of operations upon settlement or a change in fair value. We recorded a net loss of $2 million for the year ended December 31, 2025, related to our forward contracts, and net gain of $1 million for the year ended December 31, 2024. Refer to “Note 3: </w:t>
      </w:r>
      <w:r>
        <w:rPr>
          <w:rFonts w:ascii="Times New Roman" w:hAnsi="Times New Roman"/>
          <w:i/>
          <w:color w:val="000000"/>
          <w:sz w:val="20"/>
        </w:rPr>
        <w:t>Financial Instruments and Fair Value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Measurements</w:t>
      </w:r>
      <w:r>
        <w:rPr>
          <w:rFonts w:ascii="Times New Roman" w:hAnsi="Times New Roman"/>
          <w:color w:val="000000"/>
          <w:sz w:val="20"/>
        </w:rPr>
        <w:t xml:space="preserve">” in the notes to the consolidated financial statements in Item 8 of this Annual Report on Form 10-K for further detail on our derivative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exposure to potentially volatile movements in foreign currency exchange rates will increase as we increase our operations in international markets. The economic impact of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as well as increased cyberattacks, other military conflicts, tariffs, trade negotiations, and sanctions.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8_financial_statements"/>
      <w:bookmarkEnd w:id="16"/>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left"/>
        <w:rPr/>
      </w:pPr>
      <w:r>
        <w:rPr/>
        <w:t> </w:t>
      </w:r>
    </w:p>
    <w:tbl>
      <w:tblPr>
        <w:tblW w:w="10112" w:type="dxa"/>
        <w:jc w:val="left"/>
        <w:tblInd w:w="0" w:type="dxa"/>
        <w:tblLayout w:type="fixed"/>
        <w:tblCellMar>
          <w:top w:w="28" w:type="dxa"/>
          <w:left w:w="28" w:type="dxa"/>
          <w:bottom w:w="28" w:type="dxa"/>
          <w:right w:w="28" w:type="dxa"/>
        </w:tblCellMar>
      </w:tblPr>
      <w:tblGrid>
        <w:gridCol w:w="9751"/>
        <w:gridCol w:w="361"/>
      </w:tblGrid>
      <w:tr>
        <w:trPr/>
        <w:tc>
          <w:tcPr>
            <w:tcW w:w="97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Index to Financial Statements and Supplementary Data:</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
              <w:r>
                <w:rPr>
                  <w:rStyle w:val="InternetLink"/>
                  <w:rFonts w:ascii="Times New Roman" w:hAnsi="Times New Roman"/>
                  <w:color w:val="0000FF"/>
                  <w:sz w:val="20"/>
                  <w:u w:val="single"/>
                </w:rPr>
                <w:t>Report of Independent Registered Public Accounting Firm (KPMG LLP, Boston, Massachusetts, Auditor Firm ID: 185)</w:t>
              </w:r>
            </w:hyperlink>
            <w:r>
              <w:rPr>
                <w:rFonts w:ascii="Times New Roman" w:hAnsi="Times New Roman"/>
                <w:color w:val="000000"/>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consolidated_combined_statements_ope">
              <w:r>
                <w:rPr>
                  <w:rStyle w:val="InternetLink"/>
                  <w:rFonts w:ascii="Times New Roman" w:hAnsi="Times New Roman"/>
                  <w:color w:val="0000FF"/>
                  <w:sz w:val="20"/>
                  <w:u w:val="single"/>
                </w:rPr>
                <w:t>Consolidated Statements of Operations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statements_of_comprehensive_income">
              <w:r>
                <w:rPr>
                  <w:rStyle w:val="InternetLink"/>
                  <w:rFonts w:ascii="Times New Roman" w:hAnsi="Times New Roman"/>
                  <w:color w:val="0000FF"/>
                  <w:sz w:val="20"/>
                  <w:u w:val="single"/>
                </w:rPr>
                <w:t>Consolidated Statements of Comprehensive Income (Loss)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combined_statements_of_cashflows">
              <w:r>
                <w:rPr>
                  <w:rStyle w:val="InternetLink"/>
                  <w:rFonts w:ascii="Times New Roman" w:hAnsi="Times New Roman"/>
                  <w:color w:val="0000FF"/>
                  <w:sz w:val="20"/>
                  <w:u w:val="single"/>
                </w:rPr>
                <w:t>Consolidated Statements of Cash Flows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9751"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report_of_independent_registered"/>
      <w:bookmarkEnd w:id="17"/>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Board of Directors</w:t>
      </w:r>
    </w:p>
    <w:p>
      <w:pPr>
        <w:pStyle w:val="TextBody"/>
        <w:bidi w:val="0"/>
        <w:jc w:val="left"/>
        <w:rPr>
          <w:rFonts w:ascii="Times New Roman" w:hAnsi="Times New Roman"/>
          <w:color w:val="000000"/>
          <w:sz w:val="20"/>
        </w:rPr>
      </w:pPr>
      <w:r>
        <w:rPr>
          <w:rFonts w:ascii="Times New Roman" w:hAnsi="Times New Roman"/>
          <w:color w:val="000000"/>
          <w:sz w:val="20"/>
        </w:rPr>
        <w:t>Tripadvisor, Inc.: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Opinions on the Consolidated Financial Statements and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Tripadvisor, Inc. and subsidiaries (the Company) as of December 31, 2025 and 2024, the related consolidated statements of operations, comprehensive income (loss), changes in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for Opinions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360" w:after="283"/>
        <w:jc w:val="left"/>
        <w:rPr/>
      </w:pPr>
      <w:r>
        <w:rPr/>
        <w:t> </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Definition and Limitations of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Sufficiency of audit evidence over revenue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As discussed in Notes 2 and 18 to the consolidated financial statements, and disclosed in the consolidated statements of operations, the Company had $1,891 million in revenue, net of intersegment revenue of $4 million, for the year ended December 31, 2025, of which $924 million was Experiences related, $750 million was Hotels and Other related, and $221 million was TheFork related. Each of these categories of revenue has multiple revenue streams and the Company's processes and information technology (IT) systems differ between each revenue stream.</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identified the evaluation of sufficiency of audit evidence over Experiences and Hotels and Other revenue as a critical audit matter. Subjective auditor judgment was required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applied auditor judgment to determine the nature and extent of procedures to be performed over Experiences and Hotels and Other revenue. We evaluated the design and tested the operating effectiveness of certain internal controls related to the Company’s revenue recognition process for Experiences and Hotels and Other revenue. This included controls related to accurate recording of amounts. For certain revenue streams, we assessed the recorded revenue by selecting a sample of transactions and compared the amounts recognized for consistency with underlying documentation, including evidence of contracts with customers.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involved IT professionals with specialized skills and knowledge, who assisted in:</w:t>
      </w:r>
    </w:p>
    <w:p>
      <w:pPr>
        <w:pStyle w:val="TextBody"/>
        <w:bidi w:val="0"/>
        <w:spacing w:before="40" w:after="200"/>
        <w:jc w:val="left"/>
        <w:rPr>
          <w:color w:val="000000"/>
        </w:rPr>
      </w:pPr>
      <w:r>
        <w:rPr>
          <w:color w:val="000000"/>
        </w:rPr>
        <w:t>•</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testing certain IT applications used by the Company in its revenue recognition processes.</w:t>
      </w:r>
    </w:p>
    <w:p>
      <w:pPr>
        <w:pStyle w:val="TextBody"/>
        <w:bidi w:val="0"/>
        <w:spacing w:before="40" w:after="200"/>
        <w:jc w:val="left"/>
        <w:rPr>
          <w:color w:val="000000"/>
        </w:rPr>
      </w:pPr>
      <w:r>
        <w:rPr>
          <w:color w:val="000000"/>
        </w:rPr>
        <w:t>•</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testing the transfer of relevant revenue data between certain systems used in the revenue recognition processes.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evaluated the sufficiency of audit evidence obtained by assessing the results of procedures performed, including the appropriateness of the nature and extent of such evidence.</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 xml:space="preserve">/s/ KPMG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13, 2026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combined_statements_ope"/>
      <w:bookmarkEnd w:id="18"/>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78"/>
        <w:gridCol w:w="146"/>
        <w:gridCol w:w="211"/>
        <w:gridCol w:w="571"/>
        <w:gridCol w:w="166"/>
        <w:gridCol w:w="146"/>
        <w:gridCol w:w="211"/>
        <w:gridCol w:w="571"/>
        <w:gridCol w:w="166"/>
        <w:gridCol w:w="146"/>
        <w:gridCol w:w="211"/>
        <w:gridCol w:w="571"/>
        <w:gridCol w:w="411"/>
      </w:tblGrid>
      <w:tr>
        <w:trPr/>
        <w:tc>
          <w:tcPr>
            <w:tcW w:w="6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(Note 2,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 (exclusive of depreciation and amortization as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(including stock-based compensation of $108, $120, and $96 -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other related reorganization costs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income taxes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attributable to common stockholders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used to compute earnings (loss) per share attributable to common stockholders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9" w:name="statements_of_comprehensive_income"/>
      <w:bookmarkEnd w:id="19"/>
      <w:r>
        <w:rPr>
          <w:rFonts w:ascii="Times New Roman" w:hAnsi="Times New Roman"/>
          <w:b/>
          <w:color w:val="000000"/>
          <w:sz w:val="20"/>
        </w:rPr>
        <w:t>CONSOLIDATED STATEMENTS OF COMPREHENSIVE INCOME (LOSS)</w:t>
      </w:r>
    </w:p>
    <w:p>
      <w:pPr>
        <w:pStyle w:val="TextBody"/>
        <w:bidi w:val="0"/>
        <w:jc w:val="center"/>
        <w:rPr>
          <w:rFonts w:ascii="Times New Roman" w:hAnsi="Times New Roman"/>
          <w:sz w:val="20"/>
        </w:rPr>
      </w:pPr>
      <w:r>
        <w:rPr>
          <w:rFonts w:ascii="Times New Roman" w:hAnsi="Times New Roman"/>
          <w:b/>
          <w:color w:val="000000"/>
          <w:sz w:val="20"/>
        </w:rPr>
        <w:t>(in millions)</w:t>
      </w:r>
      <w:r>
        <w:rPr>
          <w:rFonts w:ascii="Times New Roman" w:hAnsi="Times New Roman"/>
          <w:color w:val="000000"/>
          <w:sz w:val="20"/>
        </w:rPr>
        <w:t xml:space="preserve"> </w:t>
      </w:r>
    </w:p>
    <w:p>
      <w:pPr>
        <w:pStyle w:val="TextBody"/>
        <w:bidi w:val="0"/>
        <w:jc w:val="left"/>
        <w:rPr/>
      </w:pPr>
      <w:r>
        <w:rPr/>
        <w:t> </w:t>
      </w:r>
    </w:p>
    <w:tbl>
      <w:tblPr>
        <w:tblW w:w="8923" w:type="dxa"/>
        <w:jc w:val="left"/>
        <w:tblInd w:w="0" w:type="dxa"/>
        <w:tblLayout w:type="fixed"/>
        <w:tblCellMar>
          <w:top w:w="28" w:type="dxa"/>
          <w:left w:w="28" w:type="dxa"/>
          <w:bottom w:w="28" w:type="dxa"/>
          <w:right w:w="28" w:type="dxa"/>
        </w:tblCellMar>
      </w:tblPr>
      <w:tblGrid>
        <w:gridCol w:w="6111"/>
        <w:gridCol w:w="146"/>
        <w:gridCol w:w="211"/>
        <w:gridCol w:w="316"/>
        <w:gridCol w:w="146"/>
        <w:gridCol w:w="146"/>
        <w:gridCol w:w="211"/>
        <w:gridCol w:w="376"/>
        <w:gridCol w:w="166"/>
        <w:gridCol w:w="146"/>
        <w:gridCol w:w="211"/>
        <w:gridCol w:w="346"/>
        <w:gridCol w:w="391"/>
      </w:tblGrid>
      <w:tr>
        <w:trPr/>
        <w:tc>
          <w:tcPr>
            <w:tcW w:w="6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Foreign currency translation adjustments, net of tax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Reclassification adjustments included in net income (loss), net of tax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Deferred income tax liabilities related to these amounts are not material.</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consolidated_balance_sheets"/>
      <w:bookmarkEnd w:id="2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48"/>
        <w:gridCol w:w="146"/>
        <w:gridCol w:w="290"/>
        <w:gridCol w:w="763"/>
        <w:gridCol w:w="166"/>
        <w:gridCol w:w="146"/>
        <w:gridCol w:w="290"/>
        <w:gridCol w:w="763"/>
        <w:gridCol w:w="593"/>
      </w:tblGrid>
      <w:tr>
        <w:trPr/>
        <w:tc>
          <w:tcPr>
            <w:tcW w:w="7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Accounts receivable, net (allowance for expected credit losses of $27</w:t>
            </w:r>
            <w:r>
              <w:rPr>
                <w:rFonts w:ascii="Times New Roman" w:hAnsi="Times New Roman"/>
                <w:color w:val="000000"/>
                <w:sz w:val="20"/>
              </w:rPr>
              <w:t> </w:t>
            </w:r>
            <w:r>
              <w:rPr>
                <w:rFonts w:ascii="Times New Roman" w:hAnsi="Times New Roman"/>
                <w:color w:val="000000"/>
                <w:sz w:val="18"/>
              </w:rPr>
              <w:t>and $25, respectively) (Note 2,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 (Note 4,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Non-marketable investments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Other long-term assets, net of allowance for credit losses of $10</w:t>
            </w:r>
            <w:r>
              <w:rPr>
                <w:rFonts w:ascii="Times New Roman" w:hAnsi="Times New Roman"/>
                <w:color w:val="000000"/>
                <w:sz w:val="20"/>
              </w:rPr>
              <w:t> </w:t>
            </w:r>
            <w:r>
              <w:rPr>
                <w:rFonts w:ascii="Times New Roman" w:hAnsi="Times New Roman"/>
                <w:color w:val="000000"/>
                <w:sz w:val="18"/>
              </w:rPr>
              <w:t>and $10, respectively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merchant payables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debt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net of current portion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and outstanding: 0</w:t>
            </w:r>
            <w:r>
              <w:rPr>
                <w:rFonts w:ascii="Times New Roman" w:hAnsi="Times New Roman"/>
                <w:color w:val="000000"/>
                <w:sz w:val="20"/>
              </w:rPr>
              <w:t> </w:t>
            </w:r>
            <w:r>
              <w:rPr>
                <w:rFonts w:ascii="Times New Roman" w:hAnsi="Times New Roman"/>
                <w:color w:val="000000"/>
                <w:sz w:val="18"/>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1,600,000,000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120,577,305</w:t>
            </w:r>
            <w:r>
              <w:rPr>
                <w:rFonts w:ascii="Times New Roman" w:hAnsi="Times New Roman"/>
                <w:color w:val="000000"/>
                <w:sz w:val="20"/>
              </w:rPr>
              <w:t> </w:t>
            </w:r>
            <w:r>
              <w:rPr>
                <w:rFonts w:ascii="Times New Roman" w:hAnsi="Times New Roman"/>
                <w:color w:val="000000"/>
                <w:sz w:val="18"/>
              </w:rPr>
              <w:t>and 153,655,038,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outstanding: 114,472,043</w:t>
            </w:r>
            <w:r>
              <w:rPr>
                <w:rFonts w:ascii="Times New Roman" w:hAnsi="Times New Roman"/>
                <w:color w:val="000000"/>
                <w:sz w:val="20"/>
              </w:rPr>
              <w:t> </w:t>
            </w:r>
            <w:r>
              <w:rPr>
                <w:rFonts w:ascii="Times New Roman" w:hAnsi="Times New Roman"/>
                <w:color w:val="000000"/>
                <w:sz w:val="18"/>
              </w:rPr>
              <w:t>and 127,394,786,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Class B common stock, $0.001</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400,000,000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Shares issued and outstanding: 0</w:t>
            </w:r>
            <w:r>
              <w:rPr>
                <w:rFonts w:ascii="Times New Roman" w:hAnsi="Times New Roman"/>
                <w:color w:val="000000"/>
                <w:sz w:val="20"/>
              </w:rPr>
              <w:t> </w:t>
            </w:r>
            <w:r>
              <w:rPr>
                <w:rFonts w:ascii="Times New Roman" w:hAnsi="Times New Roman"/>
                <w:color w:val="000000"/>
                <w:sz w:val="18"/>
              </w:rPr>
              <w:t>and 12,799,999,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Treasury stock-common stock, at cost, 6,105,262</w:t>
            </w:r>
            <w:r>
              <w:rPr>
                <w:rFonts w:ascii="Times New Roman" w:hAnsi="Times New Roman"/>
                <w:color w:val="000000"/>
                <w:sz w:val="20"/>
              </w:rPr>
              <w:t> </w:t>
            </w:r>
            <w:r>
              <w:rPr>
                <w:rFonts w:ascii="Times New Roman" w:hAnsi="Times New Roman"/>
                <w:color w:val="000000"/>
                <w:sz w:val="18"/>
              </w:rPr>
              <w:t>and 26,260,252</w:t>
            </w:r>
            <w:r>
              <w:rPr>
                <w:rFonts w:ascii="Times New Roman" w:hAnsi="Times New Roman"/>
                <w:color w:val="000000"/>
                <w:sz w:val="20"/>
              </w:rPr>
              <w:t> </w:t>
            </w:r>
            <w:r>
              <w:rPr>
                <w:rFonts w:ascii="Times New Roman" w:hAnsi="Times New Roman"/>
                <w:color w:val="000000"/>
                <w:sz w:val="18"/>
              </w:rPr>
              <w:t>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_statements_changes_in_stock"/>
      <w:bookmarkEnd w:id="21"/>
      <w:r>
        <w:rPr>
          <w:rFonts w:ascii="Times New Roman" w:hAnsi="Times New Roman"/>
          <w:b/>
          <w:color w:val="000000"/>
          <w:sz w:val="20"/>
        </w:rPr>
        <w:t>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millions, except number of shares)</w:t>
      </w:r>
      <w:r>
        <w:rPr>
          <w:rFonts w:ascii="Times New Roman" w:hAnsi="Times New Roman"/>
          <w:color w:val="000000"/>
          <w:sz w:val="20"/>
        </w:rPr>
        <w:t xml:space="preserve"> </w:t>
      </w:r>
    </w:p>
    <w:p>
      <w:pPr>
        <w:pStyle w:val="TextBody"/>
        <w:bidi w:val="0"/>
        <w:jc w:val="left"/>
        <w:rPr/>
      </w:pPr>
      <w:r>
        <w:rPr/>
        <w:t> </w:t>
      </w:r>
    </w:p>
    <w:tbl>
      <w:tblPr>
        <w:tblW w:w="12558" w:type="dxa"/>
        <w:jc w:val="left"/>
        <w:tblInd w:w="0" w:type="dxa"/>
        <w:tblLayout w:type="fixed"/>
        <w:tblCellMar>
          <w:top w:w="28" w:type="dxa"/>
          <w:left w:w="28" w:type="dxa"/>
          <w:bottom w:w="28" w:type="dxa"/>
          <w:right w:w="28" w:type="dxa"/>
        </w:tblCellMar>
      </w:tblPr>
      <w:tblGrid>
        <w:gridCol w:w="991"/>
        <w:gridCol w:w="146"/>
        <w:gridCol w:w="146"/>
        <w:gridCol w:w="841"/>
        <w:gridCol w:w="151"/>
        <w:gridCol w:w="146"/>
        <w:gridCol w:w="196"/>
        <w:gridCol w:w="375"/>
        <w:gridCol w:w="146"/>
        <w:gridCol w:w="146"/>
        <w:gridCol w:w="146"/>
        <w:gridCol w:w="811"/>
        <w:gridCol w:w="151"/>
        <w:gridCol w:w="146"/>
        <w:gridCol w:w="196"/>
        <w:gridCol w:w="375"/>
        <w:gridCol w:w="146"/>
        <w:gridCol w:w="146"/>
        <w:gridCol w:w="205"/>
        <w:gridCol w:w="546"/>
        <w:gridCol w:w="151"/>
        <w:gridCol w:w="146"/>
        <w:gridCol w:w="268"/>
        <w:gridCol w:w="558"/>
        <w:gridCol w:w="151"/>
        <w:gridCol w:w="223"/>
        <w:gridCol w:w="408"/>
        <w:gridCol w:w="146"/>
        <w:gridCol w:w="146"/>
        <w:gridCol w:w="372"/>
        <w:gridCol w:w="619"/>
        <w:gridCol w:w="151"/>
        <w:gridCol w:w="146"/>
        <w:gridCol w:w="146"/>
        <w:gridCol w:w="811"/>
        <w:gridCol w:w="151"/>
        <w:gridCol w:w="146"/>
        <w:gridCol w:w="181"/>
        <w:gridCol w:w="436"/>
        <w:gridCol w:w="151"/>
        <w:gridCol w:w="146"/>
        <w:gridCol w:w="181"/>
        <w:gridCol w:w="376"/>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 note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receivable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related party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146,891,538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12,799,999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(18,844,614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related to exercise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2,883,823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(6,049,253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Withholding taxes on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149,775,361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12,799,999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(24,893,867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related to exercise of options and vesting of RSUs, net of common stock withheld due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3,879,677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(1,366,385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153,655,038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12,799,999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(26,260,252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Stockholder note receivable - related party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 related to Merger, net of issuance of common stock as Merger consideration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3,037,959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(26,823,683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Retirement of treasury shares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(40,283,936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(12,799,999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53,083,935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Repurchase of common stock under share repurchase program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(6,105,262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related to exercise of options and vesting of RSUs, net of common stock withheld due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4,168,244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Withholding taxes on net share settlements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120,577,305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(6,105,262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combined_statements_of_cashflows"/>
      <w:bookmarkEnd w:id="22"/>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3"/>
        <w:gridCol w:w="146"/>
        <w:gridCol w:w="196"/>
        <w:gridCol w:w="511"/>
        <w:gridCol w:w="166"/>
        <w:gridCol w:w="146"/>
        <w:gridCol w:w="196"/>
        <w:gridCol w:w="511"/>
        <w:gridCol w:w="166"/>
        <w:gridCol w:w="146"/>
        <w:gridCol w:w="196"/>
        <w:gridCol w:w="511"/>
        <w:gridCol w:w="611"/>
      </w:tblGrid>
      <w:tr>
        <w:trPr/>
        <w:tc>
          <w:tcPr>
            <w:tcW w:w="6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 expense (benefit)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expected credit losses (Note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merchant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Income tax receivables/payables,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Capital expenditures, including capitalized website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investing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the issuance of Term Loan B Facility, net of financing costs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2025 Senior Notes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financing costs related to Credit Facility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Principal payments on Term Loan B Facility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of common stock related to Merger, including transaction costs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Repurchase of common stock under the share repurchase program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 of withholding taxes on net share settlements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Payments of finance lease obligation and other financing activities, net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(received) during the period for income taxes, net of refunds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during the period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common stock related to Merger (Note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operating loss carryforwards retained related to Merger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capitalized website development costs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sz w:val="20"/>
        </w:rPr>
      </w:pPr>
      <w:bookmarkStart w:id="23" w:name="notes_to_consolidated_financial_statemen"/>
      <w:bookmarkEnd w:id="23"/>
      <w:r>
        <w:rPr>
          <w:rFonts w:ascii="Times New Roman" w:hAnsi="Times New Roman"/>
          <w:b/>
          <w:color w:val="000000"/>
          <w:sz w:val="20"/>
        </w:rPr>
        <w:t>NOTE 1: ORGANIZATION AND BUSINESS DESCRIPTION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refer to Tripadvisor, Inc. and our wholly-owned subsidiaries as “Tripadvisor,” “the Group,” “the Company,” “us,” “we” and “our” in these notes to the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20, 2011, Expedia Group, Inc. (“Expedia”) completed a spin-off of Tripadvisor into a separate publicly traded Delaware corporation. We refer to this transaction as the “Spin-Off.” Tripadvisor’s common stock began trading on The Nasdaq Stock Market as an independent public company on December 21, 2011, under the trading symbol “TRIP.”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LTRIP and Tripadvisor Merger Agreement and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18, 2024, the Company, Liberty TripAdvisor Holdings, Inc. (“LTRIP”) and Telluride Merger Sub Corp., a Delaware corporation and an indirect wholly-owned subsidiary of the Company (“Merger Sub”), entered into the Agreement and Plan of Merger (the “Merger Agreement”), pursuant to which (i) Merger Sub would be merged with and into LTRIP (the “Merger”), with LTRIP surviving the Merger as the surviving corporation and an indirect, wholly-owned subsidiary of the Company, and (ii) immediately following the Merger, LTRIP (as the surviving corporation in the Merger) would be merged with and into TellurideSub LLC, a Delaware limited liability company and a direct wholly-owned subsidiary of the Company (“ParentSub LLC”) (such merger, the “ParentSub LLC Merger”), with ParentSub LLC surviving the ParentSub LLC Merger as the surviving company and a wholly-owned subsidiary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Merger Agreement, on March 20, 2025 the Company provided a loan (the “Loan Agreement”) to LTRIP in an aggregate principal amount of $327 million to enable LTRIP to repurchase or settle LTRIP’s outstanding Exchangeable Debentures (refer to definition below) prior to the close of the Merger. The Loan Agreement provided that LTRIP was required to use the proceeds from the Loan Agreement solely to repurchase or settle its exchange obligations with respect to the Exchangeable Debentures in accordance with the terms of the Exchangeable Debentures Indenture and the Merger Agreement and pay related fees, costs and expenses incurred in connection therewith.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29, 2025, the Merger closed (the "Merger Date"), and pursuant to the Merger Agreement, (i) the shares of LTRIP Series A common stock and Series B common stock issued and outstanding immediately prior to the effective time of the Merger were converted into the right to receive $0.2567 per share in cash, totaling approximately $20 million in the aggregate; (ii) all of the shares of LTRIP's 8% Series A cumulative redeemable preferred stock issued and outstanding immediately prior to the effective time of the Merger were converted into the right to receive, in the aggregate, approximately $42.5 million in cash, without interest, and 3,037,959 validly issued, fully paid and non-assessable shares of the Company's common stock, with a fair value of approximately $39 million, as calculated using the Company's closing stock price on April 28, 2025 of $12.82 per share; and (iii) the remaining balance of LTRIP's 0.50% exchangeable senior debentures (the “Exchangeable Debentures”), was repaid. The repayment of the Exchangeable Debentures occurred in two phases: (i) $326 million were repaid during March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2025 by LTRIP with the use of proceeds from the Loan Agreement, and (ii) $4 million were repaid by the Company during May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Loan Agreement subsequently expired in accordance with the terms of the Merger Agreement upon closing of the Merger on April 29, 2025. As a result, the Loan Agreement balance of $327 million, initially classified as “stockholder note receivable - related party,” a reduction to stockholders’ equity in our consolidated balance sheet, is no longer payable to the Company by LTRIP, and it has been included in the aggregate transaction price of the Merger (see Merger accounting discussion below).</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Prior to the Merger, assets held by LTRIP substantially consisted of shares of the Company’s common stock. Immediately prior to the closing of the Merger, LTRIP beneficially owned approximately 26.8 million shares of the Company's common stock, consisting of 14.0 million shares of common stock and 12.8 million shares of Class B common stock. As a result, the Company accounted for the Merger as a repurchase of the Company's common stock previously held by LTRIP. As such: (i) the aggregate transaction price of the repurchase was recorded as an increase to treasury stock within stockholders’ equity on our consolidated balance sheet, and (ii) the cash portion of the aggregate transaction price of the repurchase is reflected as a financing cash outflow within our consolidated statement of cash flows. The amount allocated to treasury stock on the consolidated balance sheet totaled $437 million, consisting of: (i) the aggregate cash and common stock consideration paid in connection with the repurchase of $431 million, plus (ii) all direct expenses and fees associated with the repurchase of approximately $19 million; partially offset by (iii) $13 million in LTRIP net operating loss carryforwards (“NOLs”), tax effected, retained by the Company, which was recorded as an asset to deferred income taxes, net on our consolidated balance sheet. Immediately following the close of the Merger, on April 29, 2025, the Board of Directors formally retired the shares of Tripadvisor common stock and Class B common stock previously held by LTRIP, thereby canceling approximately 26.8 million shares of the Company, which reduced the Company’s outstanding shares by the same number. Refer to “Note 14: </w:t>
      </w:r>
      <w:r>
        <w:rPr>
          <w:rFonts w:ascii="Times New Roman" w:hAnsi="Times New Roman"/>
          <w:i/>
          <w:color w:val="000000"/>
          <w:sz w:val="20"/>
        </w:rPr>
        <w:t>Stockholders’ Equity</w:t>
      </w:r>
      <w:r>
        <w:rPr>
          <w:rFonts w:ascii="Times New Roman" w:hAnsi="Times New Roman"/>
          <w:color w:val="000000"/>
          <w:sz w:val="20"/>
        </w:rPr>
        <w:t>”, under the section titled “</w:t>
      </w:r>
      <w:r>
        <w:rPr>
          <w:rFonts w:ascii="Times New Roman" w:hAnsi="Times New Roman"/>
          <w:i/>
          <w:color w:val="000000"/>
          <w:sz w:val="20"/>
        </w:rPr>
        <w:t>Retirement of Treasury Shares”</w:t>
      </w:r>
      <w:r>
        <w:rPr>
          <w:rFonts w:ascii="Times New Roman" w:hAnsi="Times New Roman"/>
          <w:color w:val="000000"/>
          <w:sz w:val="20"/>
        </w:rPr>
        <w:t xml:space="preserve">for further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Merger, the Company is no longer a controlled company under the Nasdaq Stock Market Listing Rules (the “Nasdaq Rules”) and no longer subject to the Governance Agreement by and among the Company, Liberty Interactive Corporation and Barry Diller, dated as of December 20, 2011 (as amended by the Assignment and Assumption of Governance Agreement, dated August 12, 2014).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Redomestication to Nevada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Separately, effective April 29, 2025, the Company effected the redomestication of the Company to the State of Nevada by conversion, which redomestication by conversion was approved by the Company's stockholders in June 2023. With respect to such redomestication, a Plan of Conversion was filed with the Delaware Secretary of State and Articles of Conversion and Articles of Incorporation were filed with the Nevada Secretary of State. The redomestication of the Company had no impact on our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Reportable Segment Changes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the fourth quarter of 2025, the Company announced the realignment of its operating model to support its long-term goals and strategic priorities. As a result, in consultation with the Company's Chief Executive Officer ("CEO"), who also is the chief operating decision maker (“CODM”), we evaluated our operations and realigned the reportable segment information which our CODM regularly assesses to evaluate performance for operating decision-making purposes, including allocation of resources. The revised segment reporting structure consists of the following reportable segments: (1) Experiences; (2) Hotels and Other; and (3) TheFork. For further information on our segments, including the change in segments, and principal revenue streams within these segments refer to “Note 18: </w:t>
      </w:r>
      <w:r>
        <w:rPr>
          <w:rFonts w:ascii="Times New Roman" w:hAnsi="Times New Roman"/>
          <w:i/>
          <w:color w:val="000000"/>
          <w:sz w:val="20"/>
        </w:rPr>
        <w:t>Segment and Geographic Information,</w:t>
      </w:r>
      <w:r>
        <w:rPr>
          <w:rFonts w:ascii="Times New Roman" w:hAnsi="Times New Roman"/>
          <w:color w:val="000000"/>
          <w:sz w:val="20"/>
        </w:rPr>
        <w:t xml:space="preserve">” in these notes to our consolidated financial statements. All prior period segment disclosure information has been recast to conform to the current reporting structure in this Form 10-K. This recast had no effect on our consolidated financial statements in any period.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offer travelers the ability to search, discover, book, and review experiences, hotels, and restaurants seamlessly through our two-sided marketplaces across three primary consumer-facing brands: Viator, Tripadvisor, and TheFork. Tripadvisor also plays a unique role in broader travel planning and guidance, offering authentic traveler-submitted reviews and content, travel planning tools and related technology to instill confidence for travelers in every part of their travel journey.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its financial performance within the following reportable segments: Experiences, Hotels and Other, and TheFork. The Company’s strategy is focused on growing and scaling its Experiences and TheFork marketplaces, which we believe represents an attractive long-term value creation opportunity, while optimizing its legacy offerings within the Hotels and Other segment for profitability.</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Experiences segment includes Viator, a pure-play, experiences online travel agency (“OTA”), offering a two-sided global marketplace for tours, activities, and attractions; it also includes Tripadvisor’s points-of-sale for experiences. Viator's global online marketplace focus is merchandising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Both brands leverage Viator’s centralized supply platform that supports operator onboarding, operator inventory management, bookings, payments, fraud prevention, and customer support. In addition to its owned and operated platforms (Viator and Tripadvisor), the Company also syndicates its experiences supply to other third-party endemic and non-endemic demand partners. The Hotels and Other segment primarily consists of the Tripadvisor hotel and restaurant guidance platform, which includes hotel metasearch, and related advertising offerings primarily for hotels and restaurants. TheFork operates as a leading online restaurant reservation and dining management platform, enabling diners to discover and book reservations in more than 50,000 restaurants across 11 European countries.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natural disasters, public health-related events, political instability, geopolitical conflicts, including the evolving events in the Middle East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seasonal fluctuations, such as significant shifts in our business mix, adverse economic conditions or economic uncertainty, public health-related events, as well as other factors. </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 and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may have been reclassified for comparability with the current period presentation, none of which were material.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or the results of our future operations and cash flows.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are within accounting for income taxes. Refer to our accounting policy for income taxes disclosed below and “Note 10: </w:t>
      </w:r>
      <w:r>
        <w:rPr>
          <w:rFonts w:ascii="Times New Roman" w:hAnsi="Times New Roman"/>
          <w:i/>
          <w:color w:val="000000"/>
          <w:sz w:val="20"/>
        </w:rPr>
        <w:t>Income Taxes</w:t>
      </w:r>
      <w:r>
        <w:rPr>
          <w:rFonts w:ascii="Times New Roman" w:hAnsi="Times New Roman"/>
          <w:color w:val="000000"/>
          <w:sz w:val="20"/>
        </w:rPr>
        <w:t>” for information regarding our significant income tax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Identification of the contract, or contracts,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Recognition of revenue when, or as, we satisfy a performance obligation.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2025, 2024 and 2023 related to performance obligations satisfied in prior periods, respectively. We have applied a practical expedient and do not disclose the value of unsatisfied performance obligations that have an original expected duration of less than one year.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both December 31, 2025 and 2024, there was $3 million of unamortized contract costs in other long-term assets on our consolidated balance sheet. We amortize these contract costs on a straight-line basis over the estimated customer life, which is based on historical customer retention rates. Amortization expense recorded to personnel expense on our consolidated statements of operations during each of the years ended December 31, 2025, 2024 and 2023, was $1 million. We assess such asset for impairment when events or circumstances indicate that the carrying amount may not be recoverable. No impairments were recognized during the years ended December 31, 2025, 2024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recognition of revenue may require the application of judgment related to the determination of the performance obligations and the timing of when the performance obligations are satisfied.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Taxes assessed by a government authority that are both imposed on and concurrent with a specific revenue–producing transaction, that are collected by us from a customer, are reported on a net basis, or in other words excluded from revenue on our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offers various traveler incentive programs such as discounts and credits, which award participating travelers with credits granted at the time of a current purchase to be redeemed in the future. We record the discounts as reduction in revenue at the date we record the corresponding revenue transaction. These traveler incentive programs were not material to our consolidated financial statements in any period presented.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Practical Expedients and Exemptions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costs to obtain a contract as incurred, such as sales incentives, when the amortization period would have been one year or less.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of our revenue recognition policies and description of our principal activities, organized by reportable segment from which we generate our revenue, are presented below.</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Experiences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a two-sided online marketplace that allows travelers to research and book tours, activities and attractions in popular travel destinations across the globe through our Viator and Tripadvisor branded platforms, which includes websites, mobile web, and mobile app. Through Viator, we also power traveler bookings of tours, activities and attractions on behalf of third-party distribution partner websites, including the Tripadvisor platform as well as many of the world’s major OTA’s, airlines, hotels, online and offline travel agencies, and other prominent content and eCommerce brands.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work with local tour, activity, and experience operators (“operators”) to provide travelers (“customers”) the ability to book tours, activities and attractions, or “experiences,” in destinations around the world. We generate commissions for each booking transaction we facilitate through our online reservation system, in exchange for certain activities, including the use of the Company’s booking platform, post-booking 24/7 customer support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collect payment from the customer prior to the experience occurring, which includes both our commission and the amount due to the operator. We record our commissions as deferred revenue on our consolidated balance sheet when payment is received, including amounts which are refundable subject to cancellation, until the experience occurs and revenue is recognized. The amount due to the operator is recorded as a deferred merchant payable on our consolidated balance sheet until completion of the experience, after which payment is remitted to the operator.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 much lesser extent, we earn commissions from third-party distribution partners, in this case, the customers, who display and promote on their websites the operator experiences available on our platform to generate bookings. In these transactions, we are not the merchant of record, and we generally invoice and receive commissions directly from third-party distribution partners upon completion of the experience and make payments to the operators after the experience is complete. Our performance obligation is to allow the third-party distribution partners to display and promote on their website experiences offered by operators who utilize our platform, in exchange for which, we earn a commission when travelers book and complete an experience on the third-party distribution partner's website. We do not control the service or have inventory risk, and therefore act as an agent for these transactions under GAAP.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 </w:t>
      </w:r>
    </w:p>
    <w:p>
      <w:pPr>
        <w:pStyle w:val="TextBody"/>
        <w:bidi w:val="0"/>
        <w:spacing w:before="360" w:after="283"/>
        <w:jc w:val="left"/>
        <w:rPr>
          <w:rFonts w:ascii="Times New Roman" w:hAnsi="Times New Roman"/>
          <w:sz w:val="20"/>
        </w:rPr>
      </w:pPr>
      <w:r>
        <w:rPr>
          <w:rFonts w:ascii="Times New Roman" w:hAnsi="Times New Roman"/>
          <w:b/>
          <w:color w:val="000000"/>
          <w:sz w:val="20"/>
        </w:rPr>
        <w:t>Hotels and Other Segment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Hotels Revenue.</w:t>
      </w:r>
      <w:r>
        <w:rPr>
          <w:rFonts w:ascii="Times New Roman" w:hAnsi="Times New Roman"/>
          <w:color w:val="000000"/>
          <w:sz w:val="20"/>
        </w:rPr>
        <w:t xml:space="preserve"> Our largest source of Hotels and Other segment revenue is generated from click-based advertising on Tripadvisor-branded websites, which we refer to as hotel metasearch (also referred to as hotel auction)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the travel partner bids for rates and availability to be listed on our platform. When a CPC bid is submitted, the travel partner agrees to pay us the bid amount each time a traveler clicks on the link to that travel partner’s website. Bids can be submitted periodically – as often as daily – on a property-by-property basis. We record click-based advertising revenue as the click occurs and traveler leads are sent to the travel partner’s website as our performance obligation is fulfilled at that time. Click-based revenue is generally billed to our travel partners monthly, consistent with the timing of the service. To a much lesser extent, we also generate revenue from our cost-per-acquisition,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GAAP.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upon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completion of a traveler's stay. CPA revenue is generally billed to our travel partners two months after traveler stays are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offer business-to-business, or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or a pre-determined contractual CPC rate. The travel partner agrees to pay us the CPC rate amount each time a traveler clicks on a link to the travel partner’s website.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 </w:t>
      </w:r>
    </w:p>
    <w:p>
      <w:pPr>
        <w:pStyle w:val="TextBody"/>
        <w:bidi w:val="0"/>
        <w:spacing w:before="240" w:after="283"/>
        <w:jc w:val="left"/>
        <w:rPr>
          <w:rFonts w:ascii="Times New Roman" w:hAnsi="Times New Roman"/>
          <w:sz w:val="20"/>
        </w:rPr>
      </w:pPr>
      <w:r>
        <w:rPr>
          <w:rFonts w:ascii="Times New Roman" w:hAnsi="Times New Roman"/>
          <w:b/>
          <w:i/>
          <w:color w:val="000000"/>
          <w:sz w:val="20"/>
        </w:rPr>
        <w:t>Media and Advertising Revenue.</w:t>
      </w:r>
      <w:r>
        <w:rPr>
          <w:rFonts w:ascii="Times New Roman" w:hAnsi="Times New Roman"/>
          <w:color w:val="000000"/>
          <w:sz w:val="20"/>
        </w:rPr>
        <w:t xml:space="preserve"> We offer travel partners the ability to promote their brands through display-based advertising, or sometimes referred to as “media 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to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pStyle w:val="TextBody"/>
        <w:bidi w:val="0"/>
        <w:spacing w:before="240" w:after="283"/>
        <w:jc w:val="left"/>
        <w:rPr>
          <w:rFonts w:ascii="Times New Roman" w:hAnsi="Times New Roman"/>
          <w:sz w:val="20"/>
        </w:rPr>
      </w:pPr>
      <w:r>
        <w:rPr>
          <w:rFonts w:ascii="Times New Roman" w:hAnsi="Times New Roman"/>
          <w:b/>
          <w:i/>
          <w:color w:val="000000"/>
          <w:sz w:val="20"/>
        </w:rPr>
        <w:t>Other Revenue.</w:t>
      </w:r>
      <w:r>
        <w:rPr>
          <w:rFonts w:ascii="Times New Roman" w:hAnsi="Times New Roman"/>
          <w:color w:val="000000"/>
          <w:sz w:val="20"/>
        </w:rPr>
        <w:t xml:space="preserve"> Other revenue primarily consists of Tripadvisor Dining and Cruise revenue. While Other Revenue includes revenue from vacation rentals, flights and rental cars for all periods presented through December 31, 2025, as the Company enters 2026, it no longer offers travelers access to these categories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generate revenue from our restaurant offerings on Tripadvisor-branded websites and mobile apps. Tripadvisor receives intercompany (intersegment) revenue consisting of affiliate marketing commissions earned from restaurant reservation bookings on Tripadvisor-branded websites and mobile apps, fulfilled by TheFork, which are then eliminated on a consolidated basis. The performance obligations, timing of customer payments for dining transactions, and methods of revenue recognition are consistent with TheFork segment, as described below. In addition, Tripadvisor restaurant offerings, or B2B restaurant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a subscription period, the subscription fee revenue is recognized over the subscription period on a straight-line basis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clicks by consumers on the sponsored link multiplied by the CPC rate for each specific click. CPC rates for media advertising placements agreed to by our restaurant partners are based on a pre-determined contractual rate. We record this click-based advertising revenue as the click occurs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diner leads are sent to the restaurant partner as our performance obligation is fulfilled at that time. Click-based revenue is generally billed to our restaurant partners monthly, consistent with the timing of the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 also includes revenue generated from our cruise offering on Tripadvisor-branded websites and mobile apps,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TheFork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provide information and services for consumers to research and book dining reservations through our European-based online restaurant reservations and dining management platform, TheFork. We primarily generate revenue from each booking reservation we facilitate on our platform, calculated on a per seated diner fee or as a percentage of cost of meal basis, which is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generate subscription fees in exchange for providing access to its electronic reservation booking software, including online reservation management services, marketing analytic tools, and menu syndication services. For these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Refer to “Note 18: </w:t>
      </w:r>
      <w:r>
        <w:rPr>
          <w:rFonts w:ascii="Times New Roman" w:hAnsi="Times New Roman"/>
          <w:i/>
          <w:color w:val="000000"/>
          <w:sz w:val="20"/>
        </w:rPr>
        <w:t>Segment and Geographic Information</w:t>
      </w:r>
      <w:r>
        <w:rPr>
          <w:rFonts w:ascii="Times New Roman" w:hAnsi="Times New Roman"/>
          <w:color w:val="000000"/>
          <w:sz w:val="20"/>
        </w:rPr>
        <w:t>” for disaggregation of the Company’s revenue by major products and revenue sources. We have determined that the disaggregation of revenue into these categories achieves the disclosure objective under GAAP, which is to depict how the nature, amount, timing, and uncertainty of revenue and cash flows are affected by economic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2025, we had $47 million recorded as deferred revenue on our consolidated balance sheet, of which $43 million was recognized in revenue and $4 million was refunded due to cancellations by travelers during the year ended December 31, 2025. As of January 1, 2024, we had $49 million recorded as deferred revenue on our consolidated balance sheet, of which $46 million was recognized in revenue and $3 million was refunded due to cancellations by travelers during the year ended December 31, 2024. The difference between the opening and closing balances of our deferred revenue primarily results from the timing differences between when we receive customer payments and the time in which we satisfy our performance obligations. There were no significant changes in deferred revenue during the years ended December 31, 2025 and 2024 related to business combinations, impairments, cumulative catch-ups or other material adjustments.</w:t>
      </w:r>
    </w:p>
    <w:p>
      <w:pPr>
        <w:pStyle w:val="TextBody"/>
        <w:bidi w:val="0"/>
        <w:spacing w:before="240" w:after="283"/>
        <w:jc w:val="left"/>
        <w:rPr>
          <w:rFonts w:ascii="Times New Roman" w:hAnsi="Times New Roman"/>
          <w:sz w:val="20"/>
        </w:rPr>
      </w:pPr>
      <w:r>
        <w:rPr>
          <w:rFonts w:ascii="Times New Roman" w:hAnsi="Times New Roman"/>
          <w:b/>
          <w:i/>
          <w:color w:val="000000"/>
          <w:sz w:val="20"/>
        </w:rPr>
        <w:t>Deferred Merchant Payables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payment from travelers at the time of an experience booking, which is prior to the experience, and we record these amounts, net of our commissions, on our consolidated balance sheet as deferred merchant payables. We pay experience operators after the travelers’ use. Therefore, we receive payment from the traveler prior to paying the experience operator and this operating cycle represents a working capital source or use of cash to us. Our deferred merchant payables balance was $308 million and $255 million at December 31, 2025 and 2024, respectively, on our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Marketing expenses (or advertising costs)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costs associated with communicating the advertisements in the period in which the advertisement takes place. We expense the production costs associated with advertisements in the period in which the advertisement first takes place. For the years ended December 31, 2025, 2024 and 2023, we recorded advertising expense of $791 million, $729 million, and $705 million, respectively, in marketing expense on our consolidated statements of operations. We include prepaid advertising expenses in prepaid expenses and other current assets on our consolidated balance sheets, which was not material as of December 31, 2025 and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Personnel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Technology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Technology expenses consist primarily of licensing, data center costs including cloud-based solutions, maintenance, computer supplies, telecom, and content translation and localization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Our employee stock options generally consist of service-based awards. The exercise price is equal to the market price of the 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yields currently available on zero-coupon U.S. Treasury issues, in effect at the time of the grant, whose remaining maturity period most closely approximates the stock option’s expected term assumption. We estimate our expected volatility by using the historical volatility of our own common stock. Historical volatility is determined using actual daily price observations of our common stock price over a period equivalent to or approximate to the expected term of our stock option grants to date.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pStyle w:val="TextBody"/>
        <w:bidi w:val="0"/>
        <w:spacing w:before="24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Restricted stock units (“RSUs”) are stock awards that are granted to employees entitling the holder to shares of our common stock as the award vests. We measure the estimated fair value of RSUs based on the quoted price of our common stock at the date of grant. We amortize the fair value of RSUs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We also issue deferred stock units ("DSUs") in certain cases to non-employee members of our board of directors. We measure the estimated fair value and recognize related compensation expense for DSUs as described above for RSUs; over a one-year requisite service period. </w:t>
      </w:r>
    </w:p>
    <w:p>
      <w:pPr>
        <w:pStyle w:val="TextBody"/>
        <w:bidi w:val="0"/>
        <w:spacing w:before="240" w:after="283"/>
        <w:jc w:val="left"/>
        <w:rPr>
          <w:rFonts w:ascii="Times New Roman" w:hAnsi="Times New Roman"/>
          <w:sz w:val="20"/>
        </w:rPr>
      </w:pPr>
      <w:r>
        <w:rPr>
          <w:rFonts w:ascii="Times New Roman" w:hAnsi="Times New Roman"/>
          <w:i/>
          <w:color w:val="000000"/>
          <w:sz w:val="20"/>
        </w:rPr>
        <w:t>Performance-Based Awards.</w:t>
      </w:r>
      <w:r>
        <w:rPr>
          <w:rFonts w:ascii="Times New Roman" w:hAnsi="Times New Roman"/>
          <w:color w:val="000000"/>
          <w:sz w:val="20"/>
        </w:rPr>
        <w:t xml:space="preserve"> Performance-based stock options and RSUs vest upon achievement of certain Company-based performance conditions and a requisite service period. On the date of grant, the fair value of a performance-based award is calculated using the same method as our service based stock options and RSUs as described above. We then assess whether it is probable that the individual performance targets would be achieved. If assessed as probable, compensation expense will be recorded for these awards over the estimated performance period. At each reporting period, we reassess the probability of achieving the performance targets and the performance period required to meet those targets. The estimation of whether the performance targets will be achieved and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 </w:t>
      </w:r>
    </w:p>
    <w:p>
      <w:pPr>
        <w:pStyle w:val="TextBody"/>
        <w:bidi w:val="0"/>
        <w:spacing w:before="240" w:after="283"/>
        <w:jc w:val="left"/>
        <w:rPr>
          <w:rFonts w:ascii="Times New Roman" w:hAnsi="Times New Roman"/>
          <w:sz w:val="20"/>
        </w:rPr>
      </w:pPr>
      <w:r>
        <w:rPr>
          <w:rFonts w:ascii="Times New Roman" w:hAnsi="Times New Roman"/>
          <w:i/>
          <w:color w:val="000000"/>
          <w:sz w:val="20"/>
        </w:rPr>
        <w:t>Market-Based Awards</w:t>
      </w:r>
      <w:r>
        <w:rPr>
          <w:rFonts w:ascii="Times New Roman" w:hAnsi="Times New Roman"/>
          <w:color w:val="000000"/>
          <w:sz w:val="20"/>
        </w:rPr>
        <w:t>. We issue market-based performance RSUs, or MSUs, which vest upon achievement of specified levels of market conditions. 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of fair value are not intended to predict actual future events or the value ultimately realized by employees who receive these awards, and subsequent events are not indicative of the reasonableness of our original estimates of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forfeitures in the period in which they occur, rather than estimating expected forfeitures.</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liabilities to address uncertain tax positions we have taken in previously filed tax returns or that we expect to take in a future tax return. The determination for required liabilities is based upon an analysis of each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tax position, taking into consideration whether it is more likely than not that our tax position, based on technical merits, will be sustained upon examination.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Restricted Cash,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consists of available on demand bank deposits held in global financial institutions. Our cash equivalents generally consist of highly liquid investments, generally including money market funds, time deposits and marketable securities, with maturities of 90 days or less at the date of purchase. Our cash balance includes amounts collected on behalf of, but not yet remitted to experiences operators, which are included in the caption deferred merchant payables on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we did not have any cash and cash equivalents classified as 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classify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marketable equity securities, limited by policy to money market funds and mutual funds, as either a cash equivalent, short-term or long-term based on the nature of each security and its availability for use in current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continually review any available-for-sale securities to determine whether their fair value is below their carrying value. If the fair value of an available-for-sale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expected credit losses on our consolidated balance sheet and a corresponding loss in other income (expense), net on our consolidated statements of operations. Any portion of the unrealized loss on the available-for-sale securities that is not attributable to a credit loss would be recognized as an unrealized loss in accumulated other comprehensive income (loss) within our consolidated statements of changes 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at any point in time may contain various investments, including, in U.S. treasury and U.S. government agency securities, taxable and tax-exempt municipal notes, corporate notes and bonds, commercial paper, non-U.S. government agency securities, overnight demand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2025 and 2024, the Company had no available-for-sale securities.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Accounts Receivable and Allowance for Expected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recognized when the right to consideration becomes unconditional and are recorded net of an allowance for expected credit losses. We record accounts receivable at the invoiced amount. Our customer invoices are generally due 30 days from the time of invoicing.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“expected credit loss” methodology, allowed under GAAP, in estimating its allowance for expected credit losses. 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rating tranche, as determined by the Company. When the Company becomes aware of facts and circumstances affecting an individual customer, it also takes that specific customer information into account as part of its calculation of expected credit losses.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exposure to credit losses may increase if our customers are adversely affected by changes in macroeconomic pressures, changes in global economic policies, or uncertainty associated with local or global economic recessions, or other customer-specific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changes in our allowance for expected credit losses for the periods presented: </w:t>
      </w:r>
    </w:p>
    <w:p>
      <w:pPr>
        <w:pStyle w:val="TextBody"/>
        <w:bidi w:val="0"/>
        <w:jc w:val="left"/>
        <w:rPr/>
      </w:pPr>
      <w:r>
        <w:rPr/>
        <w:t> </w:t>
      </w:r>
    </w:p>
    <w:tbl>
      <w:tblPr>
        <w:tblW w:w="7208" w:type="dxa"/>
        <w:jc w:val="left"/>
        <w:tblInd w:w="0" w:type="dxa"/>
        <w:tblLayout w:type="fixed"/>
        <w:tblCellMar>
          <w:top w:w="28" w:type="dxa"/>
          <w:left w:w="28" w:type="dxa"/>
          <w:bottom w:w="28" w:type="dxa"/>
          <w:right w:w="28" w:type="dxa"/>
        </w:tblCellMar>
      </w:tblPr>
      <w:tblGrid>
        <w:gridCol w:w="4386"/>
        <w:gridCol w:w="146"/>
        <w:gridCol w:w="211"/>
        <w:gridCol w:w="316"/>
        <w:gridCol w:w="166"/>
        <w:gridCol w:w="146"/>
        <w:gridCol w:w="211"/>
        <w:gridCol w:w="316"/>
        <w:gridCol w:w="166"/>
        <w:gridCol w:w="146"/>
        <w:gridCol w:w="211"/>
        <w:gridCol w:w="376"/>
        <w:gridCol w:w="41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 of recoveries and 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 property and equipment at cost, net of accumulated depreciation. We capitalize certain costs incurred during the application development stage related to website development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compute depreciation using the straight-line method over the estimated useful lives of the assets, which is three to five years for computer equipment, capitalized website development, office furniture and other equipment. We depreciate leasehold improvements using the straight-line method, over the shorter of the estimated useful life of the improvement or the remaining term of the lease.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lease office space in a number of countries around the world, generally under non-cancelable operating lease agreements. Our corporate headquarters is our most significant office space lease and is accounted for as a finance lease under GAAP. The Company has also entered into other leases, such as data center leases, which are not material to our consolidated financial statements. </w:t>
      </w:r>
    </w:p>
    <w:p>
      <w:pPr>
        <w:pStyle w:val="TextBody"/>
        <w:bidi w:val="0"/>
        <w:spacing w:before="260" w:after="283"/>
        <w:jc w:val="left"/>
        <w:rPr>
          <w:rFonts w:ascii="Times New Roman" w:hAnsi="Times New Roman"/>
          <w:color w:val="000000"/>
          <w:sz w:val="20"/>
        </w:rPr>
      </w:pPr>
      <w:r>
        <w:rPr>
          <w:rFonts w:ascii="Times New Roman" w:hAnsi="Times New Roman"/>
          <w:color w:val="000000"/>
          <w:sz w:val="20"/>
        </w:rPr>
        <w:t xml:space="preserve">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 </w:t>
      </w:r>
    </w:p>
    <w:p>
      <w:pPr>
        <w:pStyle w:val="TextBody"/>
        <w:bidi w:val="0"/>
        <w:spacing w:before="240" w:after="120"/>
        <w:jc w:val="left"/>
        <w:rPr>
          <w:rFonts w:ascii="Times New Roman" w:hAnsi="Times New Roman"/>
          <w:sz w:val="20"/>
        </w:rPr>
      </w:pPr>
      <w:r>
        <w:rPr>
          <w:rFonts w:ascii="Times New Roman" w:hAnsi="Times New Roman"/>
          <w:color w:val="000000"/>
          <w:sz w:val="20"/>
        </w:rPr>
        <w:t>Our lease contracts contain both lease and non-lease components</w:t>
      </w:r>
      <w:r>
        <w:rPr>
          <w:rFonts w:ascii="Times New Roman" w:hAnsi="Times New Roman"/>
          <w:color w:val="231F20"/>
          <w:sz w:val="20"/>
        </w:rPr>
        <w:t xml:space="preserve"> </w:t>
      </w:r>
      <w:r>
        <w:rPr>
          <w:rFonts w:ascii="Times New Roman" w:hAnsi="Times New Roman"/>
          <w:color w:val="000000"/>
          <w:sz w:val="20"/>
        </w:rPr>
        <w:t>which we combine as a single component under our accounting policy by asset class, except for office space leases and certain other leases, such as co-location data center leases, which we account separately for the lease and non-lease components. For leases which the consideration in the contract is allocated to lease and non-lease components, we base it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is recorded to depreciation and interest expense, respectively, in our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approximately 280,000 square feet of office space for our corporate headquarters in Needham, Massachusetts. This lease has an expiration date of December 2030, with an option to extend the lease term for two consecutive terms of five years each and is accounted for as a finance lease.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60" w:after="283"/>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office space leases, exclusive of our corporate headquarters, are operating leases, which we lease an aggregate of approximately 172,000 square feet at nearly 25 locations across North America, Europe and Asia Pacific, in cities such as New York, London, Singapore, Barcelona and Paris, primarily used as sales offices, subsidiary headquarters, and for international operations, pursuant to leases with various expiration dates, with the latest expiring in December 2034.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associated with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is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within the adjustments to reconcile net income (loss) to net cash provided by operating activities in our consolidated statement of cash flows. Lease incentives are recognized as reductions of rental expense on a straight-line basis over the term of the lease. Our operating leases generally include options to extend the lease terms for up to approximately 6 years and/or terminate certain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years ended December 31, 2025, 2024 and 2023. In addition, our short-term lease costs were not material in any period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sublease certain floors of our corporate headquarters office space in Needham, Massachusetts. These subleases have terms ranging from 4 to 8 years that will expire at various dates by fiscal year 2030. We generally recognize sublease income on a straight-line basis over the sublease term. We present our operating lease costs net of sublease income in our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establish assets and liabilities at the present value of estimated future costs to return certain of our leased facilities to their original condition to satisfy any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both December 31, 2025 and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Non-Marketable Equity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Non-marketable equity investments that are not accounted for under the equity method and that do not have a readily determinable fair value are accounted for under the measurement alternative, allowed under GAAP.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 quarterly basis, we perform a qualitative assessment considering impairment indicators, if any,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 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Valuations of such privately-held companies are inherently complex and uncertain due to the lack of liquid market for such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acquired businesses using the acquisition method of accounting which requires that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in which such goodwill was generated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or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estimated fair value of the reporting unit; however, any loss recognized cannot exceed the total amount of goodwill allocated to that reporting unit.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estimated fair values of reporting units in a quantitative goodwill impairment test, we generally use a blend, of the following recognized valuation methods: the income approach (i.e.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valuation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substantially different assumptions, estimates or judgments could trigger the need for an impairment charge, or materially increase or decrease the amount of any such impairment charge.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fourth quarter of 2025, the composition of our reportable segments was changed, as discussed above and in “Note 18: </w:t>
      </w:r>
      <w:r>
        <w:rPr>
          <w:rFonts w:ascii="Times New Roman" w:hAnsi="Times New Roman"/>
          <w:i/>
          <w:color w:val="000000"/>
          <w:sz w:val="20"/>
        </w:rPr>
        <w:t>Segment and Geographic Information</w:t>
      </w:r>
      <w:r>
        <w:rPr>
          <w:rFonts w:ascii="Times New Roman" w:hAnsi="Times New Roman"/>
          <w:color w:val="000000"/>
          <w:sz w:val="20"/>
        </w:rPr>
        <w:t xml:space="preserve">.” Following the change in reportable segments, our new reporting units for the purposes of goodwill impairment testing were identified as follows: (1) Experiences, (2) Hotels and Other, and (3) TheFork. The Experiences reporting unit includes the operations of our former Viator reporting unit; in addition to Tripadvisor point-of-sale experiences revenue and associated operating expenses. The Hotels and Other reporting unit includes the operations of our former Brand Tripadvisor reporting unit; excluding Tripadvisor point-of-sale experiences revenue and associated operating expenses. As a result of this reporting unit change, we performed a qualitative impairment assessment on our former reporting units prior to implementing the new segment reporting structure and determined that it was more likely than not that the fair value of all former reporting units was greater than the carrying value. As part of our qualitative assessment for our goodwill impairment analysis of our former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during the second quarter of 2022, (i) changes in the regulatory environment, (j) changes in strategic outlook or organizational structure and leadership of the reporting units; and (k) other relevant factors, and how these factors might impact specific performance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then performed a goodwill impairment test for each of the three new reporting units (Experiences, Hotels and Other, and TheFork) upon the change in reportable segments using a quantitative impairment assessment that used a combination of: (i) an income approach based on discounted cash flow analysis, and (ii), a market approach based on market multiples, for each reporting unit. We concluded the estimated fair values were substantially in excess of the carrying values for the new reporting units, and therefore, no indications of impairment were identified as a result of these changes in the fourth quarter of 2025. Significant changes in macroeconomic conditions, industry and market environments or financial performance could result in a future impairment of goodwill, in particular the Hotels and Other reporting unit if expected profitability trends assumed in the discounted cash flow analysis are not realized. As a result of the change in segments, the Company used a relative fair value approach to estimate the portion of goodwill carrying amount associated with the former Brand Tripadvisor reporting unit for which to allocate to the new Experiences reporting unit, which was $190 million. This reflects the combining of the Tripadvisor point-of-sale experiences commerce into the new Experiences segment from the former Brand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Tripadvisor segment. Refer to “Note 6: </w:t>
      </w:r>
      <w:r>
        <w:rPr>
          <w:rFonts w:ascii="Times New Roman" w:hAnsi="Times New Roman"/>
          <w:i/>
          <w:color w:val="000000"/>
          <w:sz w:val="20"/>
        </w:rPr>
        <w:t>Goodwill and Intangibles</w:t>
      </w:r>
      <w:r>
        <w:rPr>
          <w:rFonts w:ascii="Times New Roman" w:hAnsi="Times New Roman"/>
          <w:color w:val="000000"/>
          <w:sz w:val="20"/>
        </w:rPr>
        <w:t>” for a summary of our goodwill activity by reportable segments.</w:t>
      </w:r>
    </w:p>
    <w:p>
      <w:pPr>
        <w:pStyle w:val="TextBody"/>
        <w:bidi w:val="0"/>
        <w:spacing w:before="24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our definite-lived intangible assets. If we reduce the estimated useful life assumption, the remaining unamortized balance is amortized over the revised estimated useful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asset's carrying value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which consist of Tripadvisor-brand trade name and trademarks,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Company's annual indefinite-lived intangible impairment test during the fourth quarter of 2025,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periodically review the carrying amount of our other long-term assets, including property and equipment, net and operating lease right-of-use assets,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The Company’s impairment evaluation is performed at the asset group level or the lowest level for which identified cash flows are largely independent, which the Company has defined as the reporting unit level.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estimated fair value and would be included in operating income (loss)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other long-term assets on our consolidated balance sheet at December 31, 2025 or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Translation and Transaction Gains and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are reported in U.S. dollars. Certain of our subsidiaries outside of the U.S. use the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subsidiaries also engage in transactions in currencies other than their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$9 million, $2 million and $5 million, respectively, for the years ended December 31, 2025, 2024 and 2023, in other income (expense), net on our consolidated statements of operations. These amounts also include transaction gains and losses, both realized and unrealized from forward contracts.</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derivative instruments that do not qualify for hedge accounting as either assets or liabilities and carry them at fair value, with any subsequent adjustments to fair value recorded in other income (expense), net 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is classified in other investing activities in our consolidated statements of cash flows. Counterparties to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during the years ended December 31, 2025, 2024 or 2023. Refer to “Note 3: </w:t>
      </w:r>
      <w:r>
        <w:rPr>
          <w:rFonts w:ascii="Times New Roman" w:hAnsi="Times New Roman"/>
          <w:i/>
          <w:color w:val="000000"/>
          <w:sz w:val="20"/>
        </w:rPr>
        <w:t>Financial Instruments and Fair Value Measurements</w:t>
      </w:r>
      <w:r>
        <w:rPr>
          <w:rFonts w:ascii="Times New Roman" w:hAnsi="Times New Roman"/>
          <w:color w:val="000000"/>
          <w:sz w:val="20"/>
        </w:rPr>
        <w:t>” for additional information on our derivatives.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are based on quoted market prices for identical assets and liabilities in active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are based on observable inputs other than quoted market prices included in Level 1, such as quoted prices for similar assets and liabilities in active markets, quoted prices for identical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assets and liabilities in markets that are not active, or other inputs that are observable or can be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are based on unobservable inputs reflecting our own assumptions, consistent with reasonably available assumptions made by other market participants. These valuations require significant judgment.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a credit facility or to amend our existing revolving credit facility, which are presented on the consolidated balance sheet as a long-term asset and amortize these costs using the effective interest rate method to interest expense over the term of the credit facility.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Risks and Concentrations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certain risks and concentrations, including a concentration related to dependence on our relationships with our customers. For the years ended December 31, 2025 and 2024, Booking (and its subsidiaries) accounted for 10% or more of our consolidated revenue, and together with Expedia (and its subsidiaries), our two most significant travel partners, accounted for approximately 21% and 22% of our consolidated revenue, respectively. For the year ended December 31, 2023, Expedia and Booking each accounted for 10% or more of our consolidated revenue, and together accounted for approximately 25%, of our consolidated revenue. Nearly all of this concentration of revenue is recorded in our Hotels and Other segment during these reporting periods.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Additionally, our business is dependent on relationships with third-party service providers that we rely on to fulfill service obligations to our customers where the Company is the merchant of record, such as our experience operators. However, no one operator’s inventory resulted in more than 10% of our revenue on a consolidated basis or at a reportable segment level in any period presented. Refer to “Note 18: </w:t>
      </w:r>
      <w:r>
        <w:rPr>
          <w:rFonts w:ascii="Times New Roman" w:hAnsi="Times New Roman"/>
          <w:i/>
          <w:color w:val="000000"/>
          <w:sz w:val="20"/>
        </w:rPr>
        <w:t>Segment and Geographic Information</w:t>
      </w:r>
      <w:r>
        <w:rPr>
          <w:rFonts w:ascii="Times New Roman" w:hAnsi="Times New Roman"/>
          <w:color w:val="000000"/>
          <w:sz w:val="20"/>
        </w:rPr>
        <w:t>” for information on geographic and product revenue concentrations and fixed assets by geographic location. As of December 31, 2025 and 2024, Expedia accounted for approximately 5% and 10% of our consolidated accounts receivable, net,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Routinely,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 of operations. We provide disclosure in the notes to the consolidated financial statements for loss contingencies that do not meet both these conditions if there is a reasonable possibility that a loss may have been incurred that would be material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Repurchases of Treasury Shares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Shares of our common stock repurchased, including incremental </w:t>
      </w:r>
      <w:r>
        <w:rPr>
          <w:rFonts w:ascii="Times New Roman" w:hAnsi="Times New Roman"/>
          <w:color w:val="252525"/>
          <w:sz w:val="20"/>
        </w:rPr>
        <w:t xml:space="preserve">direct costs to purchase treasury stock, including excise tax, </w:t>
      </w:r>
      <w:r>
        <w:rPr>
          <w:rFonts w:ascii="Times New Roman" w:hAnsi="Times New Roman"/>
          <w:color w:val="000000"/>
          <w:sz w:val="20"/>
        </w:rPr>
        <w:t xml:space="preserve">are recorded at cost as treasury stock and result in a reduction in stockholders' equity on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retirement of treasury shares is recorded as a reduction to common stock, equal to the par value of the shares retired, on our consolidated balance sheet. The excess carrying value of the treasury shares over par value is recorded as a reduction of additional paid-in capital, to the extent there is additional paid-in capital in the same class of stock, with any remaining excess as a reduction to retained earnings.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Earnings Per Share (“EPS”)</w:t>
      </w:r>
    </w:p>
    <w:p>
      <w:pPr>
        <w:pStyle w:val="TextBody"/>
        <w:bidi w:val="0"/>
        <w:spacing w:before="360" w:after="283"/>
        <w:jc w:val="left"/>
        <w:rPr>
          <w:rFonts w:ascii="Times New Roman" w:hAnsi="Times New Roman"/>
          <w:sz w:val="20"/>
        </w:rPr>
      </w:pPr>
      <w:r>
        <w:rPr>
          <w:rFonts w:ascii="Times New Roman" w:hAnsi="Times New Roman"/>
          <w:b/>
          <w:color w:val="000000"/>
          <w:sz w:val="20"/>
        </w:rPr>
        <w:t>Basic EPS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compute basic earnings per share, or Basic EPS, by dividing net income (loss) by the weighted average number of common shares outstanding during the period. We compute the weighted average number of common shares outstanding during the reporting period using the total of all common stock outstanding as of the last day of the previous year end reporting period plus the weighted average of any additional shares issued and outstanding less the weighted average of any common shares repurchased during the reporting period.</w:t>
      </w:r>
    </w:p>
    <w:p>
      <w:pPr>
        <w:pStyle w:val="TextBody"/>
        <w:bidi w:val="0"/>
        <w:spacing w:before="360" w:after="283"/>
        <w:jc w:val="left"/>
        <w:rPr>
          <w:rFonts w:ascii="Times New Roman" w:hAnsi="Times New Roman"/>
          <w:sz w:val="20"/>
        </w:rPr>
      </w:pPr>
      <w:r>
        <w:rPr>
          <w:rFonts w:ascii="Times New Roman" w:hAnsi="Times New Roman"/>
          <w:b/>
          <w:color w:val="000000"/>
          <w:sz w:val="20"/>
        </w:rPr>
        <w:t>Diluted EPS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 the weighted average number of common and common equivalent shares outstanding during the period using the sum of (i) the number of shares of common stock used in the Basic EPS calculation as indicated above; (ii) if dilutive, the incremental weighted average common stock that we would issue upon the assumed exercise of outstanding common equivalent shares, primarily restricted stock units and stock options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periods of net income, shares of our common stock subject to the potential conversion of the 2026 Senior Notes outstanding during the period are also included in our weighted average number of shares outstanding used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calculate Diluted EPS using the if-converted method, as share settlement is presumed under GAAP. When convertible notes are dilutive, interest expense, net of tax, is added back to net income attributable to common stockholders to calculate Diluted EPS.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December 31, 2025, 2024, and 2023, the market price of a share of our common stock did not exceed the $107.36 cap price. Refer to “Note 8: </w:t>
      </w:r>
      <w:r>
        <w:rPr>
          <w:rFonts w:ascii="Times New Roman" w:hAnsi="Times New Roman"/>
          <w:i/>
          <w:color w:val="000000"/>
          <w:sz w:val="20"/>
        </w:rPr>
        <w:t>Debt</w:t>
      </w:r>
      <w:r>
        <w:rPr>
          <w:rFonts w:ascii="Times New Roman" w:hAnsi="Times New Roman"/>
          <w:color w:val="000000"/>
          <w:sz w:val="20"/>
        </w:rPr>
        <w:t>” for further information regarding our 2026 Senior Notes and Capped Calls.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periods of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w:t>
      </w:r>
      <w:r>
        <w:rPr>
          <w:rFonts w:ascii="Times New Roman" w:hAnsi="Times New Roman"/>
          <w:color w:val="000000"/>
          <w:sz w:val="20"/>
        </w:rPr>
        <w:t xml:space="preserve"> </w:t>
      </w:r>
      <w:r>
        <w:rPr>
          <w:rFonts w:ascii="Times New Roman" w:hAnsi="Times New Roman"/>
          <w:b/>
          <w:i/>
          <w:color w:val="000000"/>
          <w:sz w:val="20"/>
        </w:rPr>
        <w:t>Accounting Pronouncement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Financial Accounting Standards Board (the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which requires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We adopted this accounting guidance on December 31, 2025, and applied it prospectively in our consolidated financial statements. Refer to “Note 10: </w:t>
      </w:r>
      <w:r>
        <w:rPr>
          <w:rFonts w:ascii="Times New Roman" w:hAnsi="Times New Roman"/>
          <w:i/>
          <w:color w:val="000000"/>
          <w:sz w:val="20"/>
        </w:rPr>
        <w:t>Income Taxes</w:t>
      </w:r>
      <w:r>
        <w:rPr>
          <w:rFonts w:ascii="Times New Roman" w:hAnsi="Times New Roman"/>
          <w:color w:val="000000"/>
          <w:sz w:val="20"/>
        </w:rPr>
        <w:t xml:space="preserve">” for information required under the adoption of this accounting guidance.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new accounting guidance that clarifies the requirements for determining whether certain settlements of convertible debt instruments should be accounted for as an induced conversion. This guidance is effective for annual reporting periods beginning after December 15, 2025, and interim reporting periods within those annual reporting periods. Early adoption is permitted for all entities that have adopted the amendments in ASU 2020-06, </w:t>
      </w:r>
      <w:r>
        <w:rPr>
          <w:rFonts w:ascii="Times New Roman" w:hAnsi="Times New Roman"/>
          <w:i/>
          <w:color w:val="000000"/>
          <w:sz w:val="20"/>
        </w:rPr>
        <w:t>Debt—Debt with Conversion and Other Options (Subtopic 470-20) and Derivatives and Hedging—Contracts in Entity’s Own Equity (Subtopic 815-40)</w:t>
      </w:r>
      <w:r>
        <w:rPr>
          <w:rFonts w:ascii="Times New Roman" w:hAnsi="Times New Roman"/>
          <w:color w:val="000000"/>
          <w:sz w:val="20"/>
        </w:rPr>
        <w:t>. The Company does not expect the adoption of the new guidance to have a material impact on its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the FASB issued new accounting guidance that provides a practical expedient permitting an entity to assume that conditions at the balance sheet date remain unchanged over the life of the asset when estimating expected credit losses for current accounts receivable and current contract assets accounted for under ASC 606, </w:t>
      </w:r>
      <w:r>
        <w:rPr>
          <w:rFonts w:ascii="Times New Roman" w:hAnsi="Times New Roman"/>
          <w:i/>
          <w:color w:val="000000"/>
          <w:sz w:val="20"/>
        </w:rPr>
        <w:t>Revenue from Contracts with Customers</w:t>
      </w:r>
      <w:r>
        <w:rPr>
          <w:rFonts w:ascii="Times New Roman" w:hAnsi="Times New Roman"/>
          <w:color w:val="000000"/>
          <w:sz w:val="20"/>
        </w:rPr>
        <w:t>. This guidance is effective for fiscal years beginning after December 15, 2025, and interim reporting periods within those annual reporting periods, with early adoption permitted, and should be applied prospectively. The Company does not expect the adoption of the new guidance to have a material impact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currently considering the timing of adoption and remain in the process of evaluating the impact of adopting the newly issued accounting rules discussed below on our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new accounting guidance that modernizes the recognition and disclosure framework for internal-use software costs, removing the previous “development stage” model and introducing a more judgment-based approach. This guidance is effective for fiscal years beginning after December 15, 2027, and interim periods within those annual reporting periods, with early adoption permitted.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new accounting guidance, which clarifies the guidance in ASC 270, </w:t>
      </w:r>
      <w:r>
        <w:rPr>
          <w:rFonts w:ascii="Times New Roman" w:hAnsi="Times New Roman"/>
          <w:i/>
          <w:color w:val="000000"/>
          <w:sz w:val="20"/>
        </w:rPr>
        <w:t>Interim Reporting</w:t>
      </w:r>
      <w:r>
        <w:rPr>
          <w:rFonts w:ascii="Times New Roman" w:hAnsi="Times New Roman"/>
          <w:color w:val="000000"/>
          <w:sz w:val="20"/>
        </w:rPr>
        <w:t>, to improve the consistency of interim financial reporting. The guidance provides a comprehensive list of required interim disclosures and introduces a disclosure principle requiring entities to disclose events since the end of the last annual reporting period that have a material impact on the entity. This guidance is effective for fiscal years beginning after December 15, 2027, including interim periods within those fiscal years, with early adoption permitted.</w:t>
      </w:r>
    </w:p>
    <w:p>
      <w:pPr>
        <w:pStyle w:val="TextBody"/>
        <w:bidi w:val="0"/>
        <w:spacing w:before="360" w:after="283"/>
        <w:jc w:val="left"/>
        <w:rPr>
          <w:rFonts w:ascii="Times New Roman" w:hAnsi="Times New Roman"/>
          <w:sz w:val="20"/>
        </w:rPr>
      </w:pPr>
      <w:r>
        <w:rPr>
          <w:rFonts w:ascii="Times New Roman" w:hAnsi="Times New Roman"/>
          <w:b/>
          <w:color w:val="000000"/>
          <w:sz w:val="20"/>
        </w:rPr>
        <w:t>NOTE 3: FINANCIAL INSTRUMENTS AND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we had approximately $1.0 billion and $1.1 billion, respectively, of cash and cash equivalents, which consisted of available on demand bank deposits and time deposits, as well as money market funds, with maturities of 90 days or less at the date of purchase, in each case, with major global financial institutions. We had no outstanding investments classified as either short-term or long-term marketable securities as of December 31, 2025 and 2024, respectively, and there were no purchases or sales of any marketable securities during the years ended December 31, 2025,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our cash and cash equivalents, which are measured at fair value on a recurring basis and categorized using the fair value hierarchy, as well as their classification on our consolidated balance sheets as of December 31, 2025 and 2024:</w:t>
      </w:r>
    </w:p>
    <w:tbl>
      <w:tblPr>
        <w:tblW w:w="10205" w:type="dxa"/>
        <w:jc w:val="left"/>
        <w:tblInd w:w="0" w:type="dxa"/>
        <w:tblLayout w:type="fixed"/>
        <w:tblCellMar>
          <w:top w:w="28" w:type="dxa"/>
          <w:left w:w="28" w:type="dxa"/>
          <w:bottom w:w="28" w:type="dxa"/>
          <w:right w:w="28" w:type="dxa"/>
        </w:tblCellMar>
      </w:tblPr>
      <w:tblGrid>
        <w:gridCol w:w="1425"/>
        <w:gridCol w:w="146"/>
        <w:gridCol w:w="267"/>
        <w:gridCol w:w="723"/>
        <w:gridCol w:w="146"/>
        <w:gridCol w:w="146"/>
        <w:gridCol w:w="241"/>
        <w:gridCol w:w="654"/>
        <w:gridCol w:w="146"/>
        <w:gridCol w:w="146"/>
        <w:gridCol w:w="351"/>
        <w:gridCol w:w="952"/>
        <w:gridCol w:w="146"/>
        <w:gridCol w:w="146"/>
        <w:gridCol w:w="267"/>
        <w:gridCol w:w="723"/>
        <w:gridCol w:w="146"/>
        <w:gridCol w:w="146"/>
        <w:gridCol w:w="241"/>
        <w:gridCol w:w="654"/>
        <w:gridCol w:w="146"/>
        <w:gridCol w:w="146"/>
        <w:gridCol w:w="351"/>
        <w:gridCol w:w="952"/>
        <w:gridCol w:w="798"/>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and Cash Equivalents</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sans-serif" w:hAnsi="sans-serif"/>
          <w:sz w:val="22"/>
        </w:rPr>
      </w:pPr>
      <w:r>
        <w:rPr>
          <w:rFonts w:ascii="Times New Roman" w:hAnsi="Times New Roman"/>
          <w:color w:val="000000"/>
          <w:sz w:val="16"/>
        </w:rPr>
        <w:t>We did not have any unrealized gains and losses related to our cash equivalents.</w:t>
      </w:r>
      <w:r>
        <w:rPr>
          <w:rFonts w:ascii="sans-serif" w:hAnsi="sans-serif"/>
          <w:color w:val="000000"/>
          <w:sz w:val="22"/>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use forward contracts to reduce the effects of foreign currency exchange rate fluctuations on our cash flows for the Euro versus the U.S. Dollar. For the periods ended December 31, 2025, 2024 and 2023, respectively, our forward contracts have not been designated as hedges and generally had maturities of less than 90 days. Our outstanding or unsettled forward contracts were carried at fair value on our consolidated balance sheets at December 31, 2025 and 2024. We measure the fair value of our outstanding or unsettled derivatives using Level 2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We recorded a net loss of $2 million for the year ended December 31, 2025, and a net gain of $1 million for the year ended December 31,2024, related to our forward contracts, while this amount was not material for the year ended December 31,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notional principal amounts of our outstanding derivative instruments for the periods presented:</w:t>
      </w:r>
    </w:p>
    <w:tbl>
      <w:tblPr>
        <w:tblW w:w="7695" w:type="dxa"/>
        <w:jc w:val="left"/>
        <w:tblInd w:w="0" w:type="dxa"/>
        <w:tblLayout w:type="fixed"/>
        <w:tblCellMar>
          <w:top w:w="28" w:type="dxa"/>
          <w:left w:w="28" w:type="dxa"/>
          <w:bottom w:w="28" w:type="dxa"/>
          <w:right w:w="28" w:type="dxa"/>
        </w:tblCellMar>
      </w:tblPr>
      <w:tblGrid>
        <w:gridCol w:w="4066"/>
        <w:gridCol w:w="146"/>
        <w:gridCol w:w="566"/>
        <w:gridCol w:w="934"/>
        <w:gridCol w:w="146"/>
        <w:gridCol w:w="146"/>
        <w:gridCol w:w="599"/>
        <w:gridCol w:w="90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currency exchange-forward contracts </w:t>
            </w:r>
            <w:r>
              <w:rPr>
                <w:rFonts w:ascii="Times New Roman" w:hAnsi="Times New Roman"/>
                <w:color w:val="000000"/>
                <w:sz w:val="11"/>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Derivative contracts address foreign currency exchange fluctuations for the Euro versus the U.S. dollar. These outstanding derivatives are not designated as hedging instruments and have an original maturity period of 90 days or less.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The fair value of our outstanding derivatives as of December 31, 2024 was not material. The notional amount of a forward contract is the contracted amount of foreign currency to be exchanged and is not recorded on the consolidated balance sheet.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Financial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financial instruments not measured at fair value on a recurring basis including accounts payable, accrued expenses and other current liabilities, and deferred merchant payables, were carried at cost on our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consolidated balance sheet to present the net amount expected to be collected.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opening and closing balances of accounts receivable, including contract assets, net of allowance for expected credit losses, from contracts with customers as of the dates presented:</w:t>
      </w:r>
    </w:p>
    <w:p>
      <w:pPr>
        <w:pStyle w:val="TextBody"/>
        <w:bidi w:val="0"/>
        <w:jc w:val="left"/>
        <w:rPr/>
      </w:pPr>
      <w:r>
        <w:rPr/>
        <w:t> </w:t>
      </w:r>
    </w:p>
    <w:tbl>
      <w:tblPr>
        <w:tblW w:w="5600" w:type="dxa"/>
        <w:jc w:val="left"/>
        <w:tblInd w:w="0" w:type="dxa"/>
        <w:tblLayout w:type="fixed"/>
        <w:tblCellMar>
          <w:top w:w="28" w:type="dxa"/>
          <w:left w:w="28" w:type="dxa"/>
          <w:bottom w:w="28" w:type="dxa"/>
          <w:right w:w="28" w:type="dxa"/>
        </w:tblCellMar>
      </w:tblPr>
      <w:tblGrid>
        <w:gridCol w:w="1771"/>
        <w:gridCol w:w="146"/>
        <w:gridCol w:w="499"/>
        <w:gridCol w:w="1001"/>
        <w:gridCol w:w="146"/>
        <w:gridCol w:w="146"/>
        <w:gridCol w:w="499"/>
        <w:gridCol w:w="1001"/>
        <w:gridCol w:w="3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years ended December 31, 2025 and 2024 related to business combinations, impairments, cumulative catch-ups or other material adjustments.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Long-Term Debt</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following table shows the aggregate principal and fair value amount of the 2026 Senior Notes and Term Loan B Facility as of the dates presented, and are considered Level 2 fair value measurements. Refer to “Note 8: </w:t>
      </w:r>
      <w:r>
        <w:rPr>
          <w:rFonts w:ascii="Times New Roman" w:hAnsi="Times New Roman"/>
          <w:i/>
          <w:color w:val="000000"/>
          <w:sz w:val="20"/>
        </w:rPr>
        <w:t>Debt</w:t>
      </w:r>
      <w:r>
        <w:rPr>
          <w:rFonts w:ascii="Times New Roman" w:hAnsi="Times New Roman"/>
          <w:color w:val="000000"/>
          <w:sz w:val="20"/>
        </w:rPr>
        <w:t xml:space="preserve">” for additional information related to our 2026 Senior Notes and Term Loan B Facility.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146"/>
        <w:gridCol w:w="255"/>
        <w:gridCol w:w="511"/>
        <w:gridCol w:w="146"/>
        <w:gridCol w:w="146"/>
        <w:gridCol w:w="427"/>
        <w:gridCol w:w="763"/>
        <w:gridCol w:w="166"/>
        <w:gridCol w:w="146"/>
        <w:gridCol w:w="274"/>
        <w:gridCol w:w="550"/>
        <w:gridCol w:w="146"/>
        <w:gridCol w:w="146"/>
        <w:gridCol w:w="224"/>
        <w:gridCol w:w="447"/>
        <w:gridCol w:w="146"/>
        <w:gridCol w:w="146"/>
        <w:gridCol w:w="255"/>
        <w:gridCol w:w="511"/>
        <w:gridCol w:w="146"/>
        <w:gridCol w:w="146"/>
        <w:gridCol w:w="521"/>
        <w:gridCol w:w="669"/>
        <w:gridCol w:w="166"/>
        <w:gridCol w:w="146"/>
        <w:gridCol w:w="274"/>
        <w:gridCol w:w="550"/>
        <w:gridCol w:w="146"/>
        <w:gridCol w:w="146"/>
        <w:gridCol w:w="224"/>
        <w:gridCol w:w="447"/>
        <w:gridCol w:w="197"/>
      </w:tblGrid>
      <w:tr>
        <w:trPr/>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6"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Term Loan B Facility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sans-serif" w:hAnsi="sans-serif"/>
          <w:sz w:val="22"/>
        </w:rPr>
      </w:pPr>
      <w:r>
        <w:rPr>
          <w:rFonts w:ascii="Times New Roman" w:hAnsi="Times New Roman"/>
          <w:color w:val="000000"/>
          <w:sz w:val="16"/>
        </w:rPr>
        <w:t>We estimate the fair value of the 2026 Senior Notes and Term Loan B Facility based on recently reported market transactions and/or prices for identical or similar financial instruments obtained from a third-party pricing source.</w:t>
      </w:r>
      <w:r>
        <w:rPr>
          <w:rFonts w:ascii="sans-serif" w:hAnsi="sans-serif"/>
          <w:color w:val="000000"/>
          <w:sz w:val="22"/>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sans-serif" w:hAnsi="sans-serif"/>
          <w:sz w:val="22"/>
        </w:rPr>
      </w:pPr>
      <w:r>
        <w:rPr>
          <w:rFonts w:ascii="Times New Roman" w:hAnsi="Times New Roman"/>
          <w:color w:val="000000"/>
          <w:sz w:val="16"/>
        </w:rPr>
        <w:t>During the first quarter of 2025, the Company increased its existing Term Loan B Facility borrowings in the amount of $350</w:t>
      </w:r>
      <w:r>
        <w:rPr>
          <w:rFonts w:ascii="sans-serif" w:hAnsi="sans-serif"/>
          <w:color w:val="000000"/>
          <w:sz w:val="22"/>
        </w:rPr>
        <w:t xml:space="preserve"> </w:t>
      </w:r>
      <w:r>
        <w:rPr>
          <w:rFonts w:ascii="Times New Roman" w:hAnsi="Times New Roman"/>
          <w:color w:val="000000"/>
          <w:sz w:val="16"/>
        </w:rPr>
        <w:t xml:space="preserve">million. Refer to “Note 8: </w:t>
      </w:r>
      <w:r>
        <w:rPr>
          <w:rFonts w:ascii="Times New Roman" w:hAnsi="Times New Roman"/>
          <w:i/>
          <w:color w:val="000000"/>
          <w:sz w:val="16"/>
        </w:rPr>
        <w:t>Debt</w:t>
      </w:r>
      <w:r>
        <w:rPr>
          <w:rFonts w:ascii="sans-serif" w:hAnsi="sans-serif"/>
          <w:color w:val="000000"/>
          <w:sz w:val="22"/>
        </w:rPr>
        <w:t xml:space="preserve">” </w:t>
      </w:r>
      <w:r>
        <w:rPr>
          <w:rFonts w:ascii="Times New Roman" w:hAnsi="Times New Roman"/>
          <w:color w:val="000000"/>
          <w:sz w:val="16"/>
        </w:rPr>
        <w:t>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did not have any assets or liabilities measured at fair value on a recurring basis using Level 3 unobservable inputs at both December 31, 2025 and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Non-Marketable Investments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Securities Accounted for under the Equity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which is recorded in other income (expense), net on the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this minority investment under the equity method, given it has the ability to exercise significant influence over, but not control, the investee. The carrying value of this minority investment was $26 million and $28 million as of December 31, 2025 and 2024, respectively, and is included in non-marketable investments on our consolidated balance sheets. During each of the years ended December 31, 2025, 2024 and 2023, we recognized a loss of $2 million,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ongoing operating losses, we performed a qualitative assessment to evaluate whether this equity investment is impaired as of December 31, 2025. During the years ended December 31, 2025, 2024 and 2023, respectively, we did not record any impairment loss on this equity investment. The remaining deferred income liability of $23 million is presented in accrued expenses and other current liabilities and other long-term liabilities on our consolidated balance sheet of $3 million and $20 million, respectively,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various commercial agreements with Chelsea Investment Holding Company PTE Ltd. and/or its subsidiaries. Transactions under these agreements with the equity method investee are considered related-party transactions, and were not material for the years ended December 31, 2025, 2024 and 2023,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Equity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hold a minority investment in equity securities of a privately-held company and does not have a readily determinable fair value. As of both December 31, 2025 and 2024, the total carrying value of this investment was $2 million, and included in non-marketable investments on our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policy is to measure this equity investment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if any, to evaluate whether this investment is impaired and monitor for any observable price changes. During the years ended December 31, 2025, 2024 and 2023, we did not record any impairment loss on this equity investment or note any observable price change indicators.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Long-Term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The Company classified the Notes Receivable as held-to-maturity, as the Company has concluded it has the positive intent and ability to hold the Notes Receivable until maturity, with 50% due June 2028 and the remaining 50% due June 2030, or the date on which there is a change in control, whichever is earlier. As of both December 31, 2025 and 2024, the carrying value of the Notes Receivable was $9 million, net of accumulated allowance for credit losses, and is classified in other long-term assets, net on our consolidated balance sheet at amortized cost. On a quarterly basis, we perform a qualitative assessment considering impairment indicators to evaluate whether the Notes Receivable are impaired and monitor for changes to our allowance for expected credit losses.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Refer to “Note 4: </w:t>
      </w:r>
      <w:r>
        <w:rPr>
          <w:rFonts w:ascii="Times New Roman" w:hAnsi="Times New Roman"/>
          <w:i/>
          <w:color w:val="000000"/>
          <w:sz w:val="20"/>
        </w:rPr>
        <w:t>Property and Equipment, Net,</w:t>
      </w:r>
      <w:r>
        <w:rPr>
          <w:rFonts w:ascii="Times New Roman" w:hAnsi="Times New Roman"/>
          <w:color w:val="000000"/>
          <w:sz w:val="20"/>
        </w:rPr>
        <w:t xml:space="preserve">” “Note 5: </w:t>
      </w:r>
      <w:r>
        <w:rPr>
          <w:rFonts w:ascii="Times New Roman" w:hAnsi="Times New Roman"/>
          <w:i/>
          <w:color w:val="000000"/>
          <w:sz w:val="20"/>
        </w:rPr>
        <w:t>Leases</w:t>
      </w:r>
      <w:r>
        <w:rPr>
          <w:rFonts w:ascii="Times New Roman" w:hAnsi="Times New Roman"/>
          <w:color w:val="000000"/>
          <w:sz w:val="20"/>
        </w:rPr>
        <w:t xml:space="preserve">” and “Note 6: </w:t>
      </w:r>
      <w:r>
        <w:rPr>
          <w:rFonts w:ascii="Times New Roman" w:hAnsi="Times New Roman"/>
          <w:i/>
          <w:color w:val="000000"/>
          <w:sz w:val="20"/>
        </w:rPr>
        <w:t>Goodwill and Intangibles Assets, Net</w:t>
      </w:r>
      <w:r>
        <w:rPr>
          <w:rFonts w:ascii="Times New Roman" w:hAnsi="Times New Roman"/>
          <w:color w:val="000000"/>
          <w:sz w:val="20"/>
        </w:rPr>
        <w:t xml:space="preserve">” for additional information regarding those assets. </w:t>
      </w:r>
    </w:p>
    <w:p>
      <w:pPr>
        <w:pStyle w:val="TextBody"/>
        <w:bidi w:val="0"/>
        <w:spacing w:before="360" w:after="283"/>
        <w:jc w:val="left"/>
        <w:rPr>
          <w:rFonts w:ascii="Times New Roman" w:hAnsi="Times New Roman"/>
          <w:sz w:val="20"/>
        </w:rPr>
      </w:pPr>
      <w:r>
        <w:rPr>
          <w:rFonts w:ascii="Times New Roman" w:hAnsi="Times New Roman"/>
          <w:b/>
          <w:color w:val="000000"/>
          <w:sz w:val="20"/>
        </w:rPr>
        <w:t>NOTE 4: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consists of the following as of the dates presented: </w:t>
      </w:r>
    </w:p>
    <w:p>
      <w:pPr>
        <w:pStyle w:val="TextBody"/>
        <w:bidi w:val="0"/>
        <w:jc w:val="left"/>
        <w:rPr/>
      </w:pPr>
      <w:r>
        <w:rPr/>
        <w:t> </w:t>
      </w:r>
    </w:p>
    <w:tbl>
      <w:tblPr>
        <w:tblW w:w="7650" w:type="dxa"/>
        <w:jc w:val="left"/>
        <w:tblInd w:w="0" w:type="dxa"/>
        <w:tblLayout w:type="fixed"/>
        <w:tblCellMar>
          <w:top w:w="28" w:type="dxa"/>
          <w:left w:w="28" w:type="dxa"/>
          <w:bottom w:w="28" w:type="dxa"/>
          <w:right w:w="28" w:type="dxa"/>
        </w:tblCellMar>
      </w:tblPr>
      <w:tblGrid>
        <w:gridCol w:w="3781"/>
        <w:gridCol w:w="146"/>
        <w:gridCol w:w="456"/>
        <w:gridCol w:w="1044"/>
        <w:gridCol w:w="166"/>
        <w:gridCol w:w="146"/>
        <w:gridCol w:w="456"/>
        <w:gridCol w:w="1044"/>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website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office equipment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2024, the carrying value of our capitalized website development costs, net of accumulated amortization, was $127 million and $115 million, respectively. For the years ended December 31, 2025, 2024 and 2023, we capitalized $76 million, $73 million and $66 million, respectively, related to website development costs. For the years ended December 31, 2025, 2024 and 2023, we recorded amortization of capitalized website development costs of $68 million, $59 million and $55 million, respectively, which is included in depreciation expense on our consolidated statements of operations. During the year ended December 31, 2025, we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retired and subsequently disposed of certain capitalized website development projects and computer equipment and purchased software, which were no longer in use and fully depreciated, with a total gross cost and related accumulated depreciation of $43 million.</w:t>
      </w:r>
    </w:p>
    <w:p>
      <w:pPr>
        <w:pStyle w:val="TextBody"/>
        <w:bidi w:val="0"/>
        <w:spacing w:before="360" w:after="240"/>
        <w:jc w:val="left"/>
        <w:rPr>
          <w:rFonts w:ascii="Times New Roman" w:hAnsi="Times New Roman"/>
          <w:sz w:val="20"/>
        </w:rPr>
      </w:pPr>
      <w:r>
        <w:rPr>
          <w:rFonts w:ascii="Times New Roman" w:hAnsi="Times New Roman"/>
          <w:b/>
          <w:color w:val="000000"/>
          <w:sz w:val="20"/>
        </w:rPr>
        <w:t>NOTE 5: LEASES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Operating and finance lease assets and liabilities consist of the following as of the dates presented:</w:t>
      </w:r>
    </w:p>
    <w:tbl>
      <w:tblPr>
        <w:tblW w:w="9582" w:type="dxa"/>
        <w:jc w:val="left"/>
        <w:tblInd w:w="0" w:type="dxa"/>
        <w:tblLayout w:type="fixed"/>
        <w:tblCellMar>
          <w:top w:w="28" w:type="dxa"/>
          <w:left w:w="28" w:type="dxa"/>
          <w:bottom w:w="28" w:type="dxa"/>
          <w:right w:w="28" w:type="dxa"/>
        </w:tblCellMar>
      </w:tblPr>
      <w:tblGrid>
        <w:gridCol w:w="2611"/>
        <w:gridCol w:w="146"/>
        <w:gridCol w:w="4006"/>
        <w:gridCol w:w="146"/>
        <w:gridCol w:w="437"/>
        <w:gridCol w:w="658"/>
        <w:gridCol w:w="146"/>
        <w:gridCol w:w="146"/>
        <w:gridCol w:w="437"/>
        <w:gridCol w:w="65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Presentation on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noncurrent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we did not have any operating or finance leases that have not yet commenced but that create significant rights and obligations for 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components of lease expense were as follows for the periods presented: </w:t>
      </w:r>
    </w:p>
    <w:tbl>
      <w:tblPr>
        <w:tblW w:w="6296" w:type="dxa"/>
        <w:jc w:val="left"/>
        <w:tblInd w:w="0" w:type="dxa"/>
        <w:tblLayout w:type="fixed"/>
        <w:tblCellMar>
          <w:top w:w="28" w:type="dxa"/>
          <w:left w:w="28" w:type="dxa"/>
          <w:bottom w:w="28" w:type="dxa"/>
          <w:right w:w="28" w:type="dxa"/>
        </w:tblCellMar>
      </w:tblPr>
      <w:tblGrid>
        <w:gridCol w:w="3221"/>
        <w:gridCol w:w="146"/>
        <w:gridCol w:w="383"/>
        <w:gridCol w:w="577"/>
        <w:gridCol w:w="166"/>
        <w:gridCol w:w="146"/>
        <w:gridCol w:w="211"/>
        <w:gridCol w:w="316"/>
        <w:gridCol w:w="166"/>
        <w:gridCol w:w="146"/>
        <w:gridCol w:w="211"/>
        <w:gridCol w:w="316"/>
        <w:gridCol w:w="291"/>
      </w:tblGrid>
      <w:tr>
        <w:trPr/>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cost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Amortization of right-of-use assets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Interest on lease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Sublease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Operating lease costs, net of sublease income, are included in operating expenses on our consolidated statements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Amount is included in depreciation expense in our consolidated statements of operations.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Amount is included in interest expense in our consolidated statements of operations.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Additional information related to our leases is as follows for the periods presented:</w:t>
      </w:r>
    </w:p>
    <w:tbl>
      <w:tblPr>
        <w:tblW w:w="8996" w:type="dxa"/>
        <w:jc w:val="left"/>
        <w:tblInd w:w="0" w:type="dxa"/>
        <w:tblLayout w:type="fixed"/>
        <w:tblCellMar>
          <w:top w:w="28" w:type="dxa"/>
          <w:left w:w="28" w:type="dxa"/>
          <w:bottom w:w="28" w:type="dxa"/>
          <w:right w:w="28" w:type="dxa"/>
        </w:tblCellMar>
      </w:tblPr>
      <w:tblGrid>
        <w:gridCol w:w="6061"/>
        <w:gridCol w:w="146"/>
        <w:gridCol w:w="383"/>
        <w:gridCol w:w="577"/>
        <w:gridCol w:w="146"/>
        <w:gridCol w:w="146"/>
        <w:gridCol w:w="211"/>
        <w:gridCol w:w="316"/>
        <w:gridCol w:w="146"/>
        <w:gridCol w:w="146"/>
        <w:gridCol w:w="211"/>
        <w:gridCol w:w="316"/>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Flows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outflows from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93" w:type="dxa"/>
        <w:jc w:val="left"/>
        <w:tblInd w:w="0" w:type="dxa"/>
        <w:tblLayout w:type="fixed"/>
        <w:tblCellMar>
          <w:top w:w="28" w:type="dxa"/>
          <w:left w:w="28" w:type="dxa"/>
          <w:bottom w:w="28" w:type="dxa"/>
          <w:right w:w="28" w:type="dxa"/>
        </w:tblCellMar>
      </w:tblPr>
      <w:tblGrid>
        <w:gridCol w:w="3586"/>
        <w:gridCol w:w="146"/>
        <w:gridCol w:w="259"/>
        <w:gridCol w:w="588"/>
        <w:gridCol w:w="372"/>
        <w:gridCol w:w="200"/>
        <w:gridCol w:w="237"/>
        <w:gridCol w:w="589"/>
        <w:gridCol w:w="31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 years</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lease payments under non-cancelable leases as of December 31, 2025 were as follows:</w:t>
      </w:r>
    </w:p>
    <w:tbl>
      <w:tblPr>
        <w:tblW w:w="5560" w:type="dxa"/>
        <w:jc w:val="left"/>
        <w:tblInd w:w="0" w:type="dxa"/>
        <w:tblLayout w:type="fixed"/>
        <w:tblCellMar>
          <w:top w:w="28" w:type="dxa"/>
          <w:left w:w="28" w:type="dxa"/>
          <w:bottom w:w="28" w:type="dxa"/>
          <w:right w:w="28" w:type="dxa"/>
        </w:tblCellMar>
      </w:tblPr>
      <w:tblGrid>
        <w:gridCol w:w="2401"/>
        <w:gridCol w:w="146"/>
        <w:gridCol w:w="545"/>
        <w:gridCol w:w="820"/>
        <w:gridCol w:w="166"/>
        <w:gridCol w:w="146"/>
        <w:gridCol w:w="426"/>
        <w:gridCol w:w="699"/>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 GOODWILL AND INTANGIBLE ASSETS, NET</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goodwill activity by reportable segment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1"/>
        <w:gridCol w:w="146"/>
        <w:gridCol w:w="335"/>
        <w:gridCol w:w="766"/>
        <w:gridCol w:w="166"/>
        <w:gridCol w:w="146"/>
        <w:gridCol w:w="211"/>
        <w:gridCol w:w="481"/>
        <w:gridCol w:w="166"/>
        <w:gridCol w:w="146"/>
        <w:gridCol w:w="238"/>
        <w:gridCol w:w="544"/>
        <w:gridCol w:w="166"/>
        <w:gridCol w:w="146"/>
        <w:gridCol w:w="320"/>
        <w:gridCol w:w="641"/>
        <w:gridCol w:w="146"/>
        <w:gridCol w:w="146"/>
        <w:gridCol w:w="281"/>
        <w:gridCol w:w="560"/>
        <w:gridCol w:w="146"/>
        <w:gridCol w:w="146"/>
        <w:gridCol w:w="260"/>
        <w:gridCol w:w="522"/>
        <w:gridCol w:w="146"/>
        <w:gridCol w:w="146"/>
        <w:gridCol w:w="211"/>
        <w:gridCol w:w="421"/>
        <w:gridCol w:w="395"/>
      </w:tblGrid>
      <w:tr>
        <w:trPr/>
        <w:tc>
          <w:tcPr>
            <w:tcW w:w="2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Brand Tripadvisor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Viator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TheFork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TheFork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3"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Re-allocation to new segments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carrying value of TheFork's goodwill was not impacted by the changes in our reportable segments in the fourth quarter of 2025.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 xml:space="preserve">Refer to “Note 18: </w:t>
      </w:r>
      <w:r>
        <w:rPr>
          <w:rFonts w:ascii="Times New Roman" w:hAnsi="Times New Roman"/>
          <w:i/>
          <w:color w:val="000000"/>
          <w:sz w:val="16"/>
        </w:rPr>
        <w:t>Segment and Geographic Information</w:t>
      </w:r>
      <w:r>
        <w:rPr>
          <w:rFonts w:ascii="Times New Roman" w:hAnsi="Times New Roman"/>
          <w:color w:val="000000"/>
          <w:sz w:val="20"/>
        </w:rPr>
        <w:t xml:space="preserve">” </w:t>
      </w:r>
      <w:r>
        <w:rPr>
          <w:rFonts w:ascii="Times New Roman" w:hAnsi="Times New Roman"/>
          <w:color w:val="000000"/>
          <w:sz w:val="16"/>
        </w:rPr>
        <w:t xml:space="preserve">for information regarding our reportable segment changes </w:t>
        <w:br/>
        <w:t>in the fourth quarter of 2025 and</w:t>
      </w:r>
      <w:r>
        <w:rPr>
          <w:rFonts w:ascii="Times New Roman" w:hAnsi="Times New Roman"/>
          <w:color w:val="000000"/>
          <w:sz w:val="20"/>
        </w:rPr>
        <w:t xml:space="preserve"> “</w:t>
      </w:r>
      <w:r>
        <w:rPr>
          <w:rFonts w:ascii="Times New Roman" w:hAnsi="Times New Roman"/>
          <w:i/>
          <w:color w:val="000000"/>
          <w:sz w:val="16"/>
        </w:rPr>
        <w:t xml:space="preserve">Note 2: Significant Accounting Policies” </w:t>
      </w:r>
      <w:r>
        <w:rPr>
          <w:rFonts w:ascii="Times New Roman" w:hAnsi="Times New Roman"/>
          <w:color w:val="000000"/>
          <w:sz w:val="16"/>
        </w:rPr>
        <w:t xml:space="preserve">for information regarding the Company’s re-allocation of goodwill.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were no goodwill impairment charges recognized on our consolidated statements of operations during the years ended December 31, 2025, 2024, or 2023. Refer to “Note 2: </w:t>
      </w:r>
      <w:r>
        <w:rPr>
          <w:rFonts w:ascii="Times New Roman" w:hAnsi="Times New Roman"/>
          <w:i/>
          <w:color w:val="000000"/>
          <w:sz w:val="20"/>
        </w:rPr>
        <w:t>Significant Accounting Policies</w:t>
      </w:r>
      <w:r>
        <w:rPr>
          <w:rFonts w:ascii="Times New Roman" w:hAnsi="Times New Roman"/>
          <w:color w:val="000000"/>
          <w:sz w:val="20"/>
        </w:rPr>
        <w:t>” for discussion regarding the Company’s 2025 goodwill impairment assessment. As of both December 31, 2025 and 2024, accumulated goodwill impairment losses totaled $3 million and was associated with the Hotels and Other segment.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acquired in business combinations and recorded at fair value on the date of purchase, consisted of the following as of the dates presented: </w:t>
      </w:r>
    </w:p>
    <w:p>
      <w:pPr>
        <w:pStyle w:val="TextBody"/>
        <w:bidi w:val="0"/>
        <w:jc w:val="left"/>
        <w:rPr/>
      </w:pPr>
      <w:r>
        <w:rPr/>
        <w:t> </w:t>
      </w:r>
    </w:p>
    <w:tbl>
      <w:tblPr>
        <w:tblW w:w="5784" w:type="dxa"/>
        <w:jc w:val="left"/>
        <w:tblInd w:w="0" w:type="dxa"/>
        <w:tblLayout w:type="fixed"/>
        <w:tblCellMar>
          <w:top w:w="28" w:type="dxa"/>
          <w:left w:w="28" w:type="dxa"/>
          <w:bottom w:w="28" w:type="dxa"/>
          <w:right w:w="28" w:type="dxa"/>
        </w:tblCellMar>
      </w:tblPr>
      <w:tblGrid>
        <w:gridCol w:w="3531"/>
        <w:gridCol w:w="146"/>
        <w:gridCol w:w="211"/>
        <w:gridCol w:w="481"/>
        <w:gridCol w:w="166"/>
        <w:gridCol w:w="146"/>
        <w:gridCol w:w="211"/>
        <w:gridCol w:w="481"/>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with definite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with definite lives,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Intangible assets with indefinite lives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Indefinite-lived intangible assets consist of Tripadvisor trade names and trademarks.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expense for definite-lived intangible assets was $3 million, $6 million, and $9 million, for the years ended December 31, 2025, 2024 and 2023,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were no impairment charges recognized to our consolidated statements of operations for the years ended December 31, 2025, 2024 and 2023 related to our intangible assets. Refer to “Note 2: </w:t>
      </w:r>
      <w:r>
        <w:rPr>
          <w:rFonts w:ascii="Times New Roman" w:hAnsi="Times New Roman"/>
          <w:i/>
          <w:color w:val="000000"/>
          <w:sz w:val="20"/>
        </w:rPr>
        <w:t>Significant Accounting Policies</w:t>
      </w:r>
      <w:r>
        <w:rPr>
          <w:rFonts w:ascii="Times New Roman" w:hAnsi="Times New Roman"/>
          <w:color w:val="000000"/>
          <w:sz w:val="20"/>
        </w:rPr>
        <w:t>” for discussion of the Company’s 2025 indefinite-lived intangible impairment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components of our intangible assets with definite lives as of the dates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2"/>
        <w:gridCol w:w="146"/>
        <w:gridCol w:w="338"/>
        <w:gridCol w:w="719"/>
        <w:gridCol w:w="146"/>
        <w:gridCol w:w="146"/>
        <w:gridCol w:w="226"/>
        <w:gridCol w:w="435"/>
        <w:gridCol w:w="146"/>
        <w:gridCol w:w="146"/>
        <w:gridCol w:w="279"/>
        <w:gridCol w:w="622"/>
        <w:gridCol w:w="166"/>
        <w:gridCol w:w="146"/>
        <w:gridCol w:w="239"/>
        <w:gridCol w:w="422"/>
        <w:gridCol w:w="146"/>
        <w:gridCol w:w="146"/>
        <w:gridCol w:w="226"/>
        <w:gridCol w:w="435"/>
        <w:gridCol w:w="146"/>
        <w:gridCol w:w="146"/>
        <w:gridCol w:w="279"/>
        <w:gridCol w:w="622"/>
        <w:gridCol w:w="166"/>
        <w:gridCol w:w="146"/>
        <w:gridCol w:w="239"/>
        <w:gridCol w:w="422"/>
        <w:gridCol w:w="392"/>
      </w:tblGrid>
      <w:tr>
        <w:trPr/>
        <w:tc>
          <w:tcPr>
            <w:tcW w:w="2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Remaining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Carrying</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millions)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names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lists and supplier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Subscriber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definite-lived intangible assets are being amortized on a straight-line basis. The straight-line method of amortization is currently our best estimate, or approximates to date, the distribution of the economic use of these intangible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pStyle w:val="TextBody"/>
        <w:bidi w:val="0"/>
        <w:jc w:val="left"/>
        <w:rPr/>
      </w:pPr>
      <w:r>
        <w:rPr/>
        <w:t> </w:t>
      </w:r>
    </w:p>
    <w:tbl>
      <w:tblPr>
        <w:tblW w:w="2790" w:type="dxa"/>
        <w:jc w:val="left"/>
        <w:tblInd w:w="0" w:type="dxa"/>
        <w:tblLayout w:type="fixed"/>
        <w:tblCellMar>
          <w:top w:w="28" w:type="dxa"/>
          <w:left w:w="28" w:type="dxa"/>
          <w:bottom w:w="28" w:type="dxa"/>
          <w:right w:w="28" w:type="dxa"/>
        </w:tblCellMar>
      </w:tblPr>
      <w:tblGrid>
        <w:gridCol w:w="1696"/>
        <w:gridCol w:w="146"/>
        <w:gridCol w:w="211"/>
        <w:gridCol w:w="34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7: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the dates presented: </w:t>
      </w:r>
    </w:p>
    <w:tbl>
      <w:tblPr>
        <w:tblW w:w="8535" w:type="dxa"/>
        <w:jc w:val="left"/>
        <w:tblInd w:w="0" w:type="dxa"/>
        <w:tblLayout w:type="fixed"/>
        <w:tblCellMar>
          <w:top w:w="28" w:type="dxa"/>
          <w:left w:w="28" w:type="dxa"/>
          <w:bottom w:w="28" w:type="dxa"/>
          <w:right w:w="28" w:type="dxa"/>
        </w:tblCellMar>
      </w:tblPr>
      <w:tblGrid>
        <w:gridCol w:w="4906"/>
        <w:gridCol w:w="146"/>
        <w:gridCol w:w="499"/>
        <w:gridCol w:w="1001"/>
        <w:gridCol w:w="146"/>
        <w:gridCol w:w="146"/>
        <w:gridCol w:w="499"/>
        <w:gridCol w:w="1001"/>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salary, bonus, and other employee-related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Finance lease liability - current portion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liabilities - current portion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Non-income taxes payable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Accrued legal contingencies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tax credit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5: </w:t>
      </w:r>
      <w:r>
        <w:rPr>
          <w:rFonts w:ascii="Times New Roman" w:hAnsi="Times New Roman"/>
          <w:i/>
          <w:color w:val="000000"/>
          <w:sz w:val="16"/>
        </w:rPr>
        <w:t>Leases</w:t>
      </w:r>
      <w:r>
        <w:rPr>
          <w:rFonts w:ascii="Times New Roman" w:hAnsi="Times New Roman"/>
          <w:color w:val="000000"/>
          <w:sz w:val="20"/>
        </w:rPr>
        <w:t xml:space="preserve">” </w:t>
      </w:r>
      <w:r>
        <w:rPr>
          <w:rFonts w:ascii="Times New Roman" w:hAnsi="Times New Roman"/>
          <w:color w:val="000000"/>
          <w:sz w:val="16"/>
        </w:rPr>
        <w:t>for further information regarding our lease obligations.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Amounts are primarily related to unpaid digital services taxes.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11: </w:t>
      </w:r>
      <w:r>
        <w:rPr>
          <w:rFonts w:ascii="Times New Roman" w:hAnsi="Times New Roman"/>
          <w:i/>
          <w:color w:val="000000"/>
          <w:sz w:val="16"/>
        </w:rPr>
        <w:t>Commitments and Contingencies</w:t>
      </w:r>
      <w:r>
        <w:rPr>
          <w:rFonts w:ascii="Times New Roman" w:hAnsi="Times New Roman"/>
          <w:color w:val="000000"/>
          <w:sz w:val="20"/>
        </w:rPr>
        <w:t xml:space="preserve">” </w:t>
      </w:r>
      <w:r>
        <w:rPr>
          <w:rFonts w:ascii="Times New Roman" w:hAnsi="Times New Roman"/>
          <w:color w:val="000000"/>
          <w:sz w:val="16"/>
        </w:rPr>
        <w:t>for further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10: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for further information.</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The following table summarizes our restructuring and other related reorganization costs for the periods presented:</w:t>
      </w:r>
    </w:p>
    <w:tbl>
      <w:tblPr>
        <w:tblW w:w="8334" w:type="dxa"/>
        <w:jc w:val="left"/>
        <w:tblInd w:w="0" w:type="dxa"/>
        <w:tblLayout w:type="fixed"/>
        <w:tblCellMar>
          <w:top w:w="28" w:type="dxa"/>
          <w:left w:w="28" w:type="dxa"/>
          <w:bottom w:w="28" w:type="dxa"/>
          <w:right w:w="28" w:type="dxa"/>
        </w:tblCellMar>
      </w:tblPr>
      <w:tblGrid>
        <w:gridCol w:w="3541"/>
        <w:gridCol w:w="146"/>
        <w:gridCol w:w="905"/>
        <w:gridCol w:w="1615"/>
        <w:gridCol w:w="166"/>
        <w:gridCol w:w="146"/>
        <w:gridCol w:w="253"/>
        <w:gridCol w:w="452"/>
        <w:gridCol w:w="166"/>
        <w:gridCol w:w="146"/>
        <w:gridCol w:w="211"/>
        <w:gridCol w:w="37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Severance and 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Charges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Charges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liability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During the fourth quarter of 2024, the Company approved and subsequently initiated a set of actions across its businesses in order to reduce its cost structure, improve operational efficiencies, and realign its workforce with its strategic initiatives. As a result, the Company incurred and paid a one-time contract termination fee to a third-party professional services firm of $18</w:t>
      </w:r>
      <w:r>
        <w:rPr>
          <w:color w:val="000000"/>
        </w:rPr>
        <w:t xml:space="preserve"> </w:t>
      </w:r>
      <w:r>
        <w:rPr>
          <w:rFonts w:ascii="Times New Roman" w:hAnsi="Times New Roman"/>
          <w:color w:val="000000"/>
          <w:sz w:val="16"/>
        </w:rPr>
        <w:t>million within its Hotels and Other segment (formerly Brand Tripadvisor segment). In addition, these actions also included estimated pre-tax restructuring and other related reorganization costs of $3</w:t>
      </w:r>
      <w:r>
        <w:rPr>
          <w:color w:val="000000"/>
        </w:rPr>
        <w:t xml:space="preserve"> </w:t>
      </w:r>
      <w:r>
        <w:rPr>
          <w:rFonts w:ascii="Times New Roman" w:hAnsi="Times New Roman"/>
          <w:color w:val="000000"/>
          <w:sz w:val="16"/>
        </w:rPr>
        <w:t>million during the three months ended December 31, 2024, which consisted of employee severance and related benefits, and was paid during the first quarter of 2025.</w:t>
      </w:r>
      <w:r>
        <w:rPr>
          <w:color w:val="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As a result of these actions taken, as noted above, the Company incurred and paid estimated pre-tax restructuring and other related reorganization costs of $10 million during the year ended December 31, 2025, which consisted of employee severance and related benefits, primarily in our Hotels and Other segment.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Separately, and unrelated to the restructuring events noted above, during the fourth quarter of 2025, the Company approved and subsequently initiated a series of cost savings actions following a decision to realign its operating model across its Experiences and Hotels and Other segments (formerly Viator and Brand Tripadvisor segments, respectively) to support the Company’s positioning as an experiences-led and AI-enabled company. As a result of these actions taken, the Company incurred estimated pre-tax restructuring and other related reorganization costs of $33 million during the three months ended December 31, 2025, which consisted of employee severance and related benefits, primarily in our Hotels and Other segment, and to lesser extent, our Experiences segment. We expect the majority of remaining unpaid costs as of December 31, 2025 to be disbursed during the first quarter of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DEBT</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outstanding debt consisted of the following as of the dates presented:</w:t>
      </w:r>
    </w:p>
    <w:tbl>
      <w:tblPr>
        <w:tblW w:w="8320" w:type="dxa"/>
        <w:jc w:val="left"/>
        <w:tblInd w:w="0" w:type="dxa"/>
        <w:tblLayout w:type="fixed"/>
        <w:tblCellMar>
          <w:top w:w="28" w:type="dxa"/>
          <w:left w:w="28" w:type="dxa"/>
          <w:bottom w:w="28" w:type="dxa"/>
          <w:right w:w="28" w:type="dxa"/>
        </w:tblCellMar>
      </w:tblPr>
      <w:tblGrid>
        <w:gridCol w:w="4121"/>
        <w:gridCol w:w="146"/>
        <w:gridCol w:w="574"/>
        <w:gridCol w:w="1151"/>
        <w:gridCol w:w="166"/>
        <w:gridCol w:w="146"/>
        <w:gridCol w:w="574"/>
        <w:gridCol w:w="1151"/>
        <w:gridCol w:w="2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0.25% Convertible 2026 Senior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 B Facility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0.25% Convertible 2026 Senior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We are party to a credit agreement with a group of lenders initially entered into in June 2015 and, amended and restated in June 2023 (the “Credit Agreement”), which, among other things, provides for a $500 million secured revolving credit facility (the “Credit Facility”). The Credit Facility has a maturity date of June 29, 2028. On July 8, 2024, the Company entered into the First Amendment to its Credit Agreement, which primarily implemented the Term Loan B Facility (discussed below), and, on March 20, 2025, entered into the Second Amendment to the Amended Credit Agreement, which increased the existing Term Loan B Facility in the amount of $350 million. On June 5, 2025, the Company entered into the Third Amendment to the amended Credit Agreement, which amended the Credit Facility’s maturity conditions (the Credit Agreement, with the First Amendment, the Second Amendment and the Third Amendment is hereinafter referred to as the “Amended Credit Agreement”). The Credit Facility had previously provided a conditional maturity date (referred to as “Springing Maturity Date” in Amended Credit Agreement) that was 91 days prior to the final scheduled maturity date in respect of any indebtedness outstanding under certain “specified debt,” the aggregate outstanding principal amount of such specified debt is $200 million or more. The Third Amendment defined the occurrence of Springing Maturity Date as 91 days or fewer prior to the final schedule maturity date in respect of the aggregate outstanding principal amount of indebtedness under the 2026 Senor Notes that is $200 million or more and the aggregate amount of unrestricted cash of the Company and its restricted subsidiaries, less deferred merchant payables, is less than $500 million. The Amended Credit Agreement does not change the aggregate amount of revolving commitments available at $500 million related to our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Amended Credit Agreement includes certain customary restrictions on the ability of the Company and its subsidiaries to, among other things, incur additional indebtedness, grant additional liens, and make investments, acquisitions, dispositions, distributions, and other payments, with certain exceptions as more specifically described in the Amended Credit Agreement. The Amended Credit Agreement contains customary events of default and modifies the cross-default provision so that the Term Loan B Facility includes a customary cross-acceleration event of default with the Credit Facility under the Amended Credit Agreement. If an event of default occurs and is continuing, then, among other things, the lenders under the Credit Facility and/or the Term Loan B Facility, as applicable, may declare any outstanding Credit Facility and/or Term Loan B Facility obligations, as applicable, under the Amended Credit Agreement to be immediately due and payable and exercise their rights and remedies against the collateral. The obligations under the Amended Credit Agreement are secured by substantially all assets, whether personal, tangible or intangible, of the Company and the Subsidiary Loan Parties as granted under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Documents. Any term not otherwise defined herein shall have the meaning ascribed to it in the Amended Credit Agreement.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we had no outstanding borrowings from the Credit Facility. The Credit Facility also includes $15 million of borrowing capacity available for letters of credit and $40 million for swing-line borrowings on same-day notice. As of December 31, 2025 and 2024, we had issued $4 million and $3 million, respectively, of undrawn standby letters of credit under the Credit Facility. For the years ended December 31, 2025, 2024 and 2023, we recorded total commitment fees on the Credit Facility of $1 million to interest expense on our consolidated statements of operations. The Amended Credit Agreement, among other things, requires us to maintain a maximum total net leverage ratio of 4.5 to 1.0 solely in respect to the Credit Facility and contains certain customary affirmative and negative covenants and events of default, including a change of control. As of December 31, 2025 and 2024, the Company was in compliance with its existing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from the Credit Facility in U.S. dollars, Euros and Sterling. Borrowings under the Credit Facility generally bear interest, at the Company’s option, at a rate per annum equal to either (i) the Adjusted Term SOFR rate for the interest period in effect for such borrowing in U.S. dollars, the EURIBO rate for the interest period in effect for such borrowings in Euro and the Daily Simple SONIA rate for the interest period in effect for such borrowings in Sterling; plus, in each case, an applicable margin ranging from 1.75% to 2.50% (“Term Benchmark/RFP Spread”), based on the Company’s total net leverage ratio; or (ii) the Alternate Base Rate (“ABR”), which is the greatest of (a) the Prime Rate in effect on such day, (b) the New York Fed Bank Rate in effect on such day plus 1/2 of 1.00% per annum, and (c) the Adjusted Term SOFR for an interest period of one month as published two US Government Securities Business Days prior to such day (or if such day is not a US Government Securities Business Day, the immediately preceding US Government Securities Business Day) plus 1.00% plus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 December 31, 2025, our unused revolver capacity was subject to a commitment fee of 0.25%, given the Company’s total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specific repayment date prior to the maturity date for any borrowings under the Amended Credit Agreement. We may voluntarily repay any outstanding borrowing under the Credit Facility at any time without premium or penalty, other than customary breakage costs with respect to Term Benchmark loans. Additionally, the Company believes that the likelihood of the lender exercising any subjective acceleration rights, which would permit the lenders to accelerate repayment of any outstanding borrowings, is remote. As such, we intend to classify any future borrowings under this facility as long-term debt.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Term Loan B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2024, under the Amended Credit Agreement, the Company issued a $500 million Term Loan B Facility maturing July 8, 2031, with an interest rate based on secured overnight financing rate ("SOFR") plus 2.75% and was offered at 99.75% of par. On July 15, 2024, the Company used these borrowed funds to fully redeem its outstanding 2025 Senior Notes. On March 20, 2025, under the Amended Credit Agreement, the Company increased its existing Term Loan B Facility in the amount of $350 million, with a maturity date of July 8, 2031 and an interest rate based on SOFR plus 2.75% (the “Tack-On Incremental Term Loan B Facility”). The Tack-On Incremental Term Loan B Facility was offered at 98.56% of par. The proceeds from the Tack-On Incremental Term Loan B Facility will be used to fund the repurchase, repayment or redemption of the Company's 2026 Senior Notes and for general corporate purposes. The Company incurred $9 million of debt issuance costs associated with the Tack-On Incremental Term Loan B Facility. We refer to the original Term Loan B Facility, combined with the Tack-On Incremental Term Loan B Facility, as the “Term Loan B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interest rate on the Term Loan B Facility was 6.47% and 7.11%, respectively, and the weighted-average interest rate on the Term Loan B Facility was 6.98% and 7.74% for the years ended December 31, 2025 and 2024, respectively. The Term Loan B Facility is required to be paid down at 1.00%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aggregate principal amount per year, repayable in quarterly installments on the last day of each calendar quarter, equal to 0.25% of the original principal amount with the balance due on the maturity date. Principal payments of $9 million and $1 million were made during the years ended December 31, 2025 and 2024, respectively. The Term Loan B Facility has no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in connection with the issuance of the Term Loan B Facility, we have $12 million remaining of debt issuance costs, comprised of the initial purchasers’ discount, lender fees, and other debt financing costs. These debt issuance costs will be amortized over the remaining term of the Term Loan B Facility, using the effective interest rate method, and recorded to interest expense on our consolidated statement of operations. As of December 31, 2025 and 2024, unpaid interest on the Term Loan B Facility was not material. During the years ended December 31, 2025 and 2024, we recorded $55 million and $19 million, respectively, of interest expense on our consolidated statements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15, 2024, the Company redeemed all $500 million aggregate principal amount of the Company’s outstanding 2025 Senior Notes, in addition to the settlement of accrued and unpaid interest. As a result, we recognized a loss on extinguishment of debt of $2 million, which primarily consisted of a non-cash write-off of unamortized debt issuance costs, and is included in Other income (expense), net on our consolidated statement of operations the year ended December 31, 2024. During the years ended December 31, 2024 and 2023, we recorded $19 million and $35 million of interest expense, respectively, on our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2026 Senior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25, 2021, we entered into a purchase agreement for the sale of $345 million aggregate principal amount of 0.25% Convertible 2026 Senior Notes due 2026 (the “2026 Senior Notes”) in a private offering to qualified institutional buyers. The terms of the 2026 Senior Notes are governed by an Indenture, dated March 25, 2021 (the “2026 Indenture”), among the Company, the guarantors party thereto and the trustee.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As of December 31, 2025 and 2024, unpaid interest on our 2026 Senior Notes was not material.</w:t>
      </w:r>
    </w:p>
    <w:p>
      <w:pPr>
        <w:pStyle w:val="TextBody"/>
        <w:bidi w:val="0"/>
        <w:spacing w:before="240" w:after="283"/>
        <w:jc w:val="left"/>
        <w:rPr>
          <w:rFonts w:ascii="Times New Roman" w:hAnsi="Times New Roman"/>
          <w:sz w:val="20"/>
        </w:rPr>
      </w:pPr>
      <w:r>
        <w:rPr>
          <w:rFonts w:ascii="Times New Roman" w:hAnsi="Times New Roman"/>
          <w:color w:val="000000"/>
          <w:sz w:val="20"/>
        </w:rPr>
        <w:t>The 2026 Senior Notes are redeemable, in whole or in part, at our option at any time, and from time to time, beginning after April 1, 2024 and on or before the 30</w:t>
      </w:r>
      <w:r>
        <w:rPr>
          <w:rFonts w:ascii="Times New Roman" w:hAnsi="Times New Roman"/>
          <w:color w:val="000000"/>
          <w:sz w:val="13"/>
        </w:rPr>
        <w:t>th</w:t>
      </w:r>
      <w:r>
        <w:rPr>
          <w:rFonts w:ascii="Times New Roman" w:hAnsi="Times New Roman"/>
          <w:color w:val="000000"/>
          <w:sz w:val="20"/>
        </w:rPr>
        <w:t xml:space="preserve">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Amended Credit Agreement, to the extent of the value of the assets securing such indebtedness.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may convert their 2026 Senior Notes at any time prior to the close of business on the business day immediately preceding January 1, 2026, in multiples of $1,000 principal amount, only under the following conditions and circumstances: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five</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2026 Senior Notes for each trading day of the measurement period was less than 98% of the product of the last reported sale price of our common stock and the conversion rate on each such trading day;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as described in the 2026 Indenture.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The debt issuance costs are being amortized over the remaining term of the 2026 Senior Notes, using the effective interest rate method, and recorded to interest expense on our consolidated statement of operations. During the years ended December 31, 2025, 2024 and 2023, our effective interest rate on our 2026 Senior Notes, including debt issuance costs, was approximately 0.27%, 0.33% and 0.40%, respectively, and $1 million was recorded as interest expense on our consolidated statements of operations for each of the years ended December 31, 2025, 2024 and 2023.</w:t>
      </w:r>
    </w:p>
    <w:p>
      <w:pPr>
        <w:pStyle w:val="TextBody"/>
        <w:bidi w:val="0"/>
        <w:spacing w:before="240" w:after="283"/>
        <w:jc w:val="left"/>
        <w:rPr>
          <w:rFonts w:ascii="Times New Roman" w:hAnsi="Times New Roman"/>
          <w:color w:val="212529"/>
          <w:sz w:val="20"/>
        </w:rPr>
      </w:pPr>
      <w:r>
        <w:rPr>
          <w:rFonts w:ascii="Times New Roman" w:hAnsi="Times New Roman"/>
          <w:color w:val="212529"/>
          <w:sz w:val="20"/>
        </w:rPr>
        <w:t>The 2026 Senior Notes do not contain any financial covenants, restrictions on dividends, incurrence of senior debt or other indebtedness, or restrictions on the issuance or repurchase of securities by the Company.</w:t>
      </w:r>
    </w:p>
    <w:p>
      <w:pPr>
        <w:pStyle w:val="TextBody"/>
        <w:bidi w:val="0"/>
        <w:spacing w:before="240" w:after="283"/>
        <w:jc w:val="both"/>
        <w:rPr>
          <w:rFonts w:ascii="Times New Roman" w:hAnsi="Times New Roman"/>
          <w:b/>
          <w:i/>
          <w:color w:val="2C2C2C"/>
          <w:sz w:val="20"/>
        </w:rPr>
      </w:pPr>
      <w:r>
        <w:rPr>
          <w:rFonts w:ascii="Times New Roman" w:hAnsi="Times New Roman"/>
          <w:b/>
          <w:i/>
          <w:color w:val="2C2C2C"/>
          <w:sz w:val="20"/>
        </w:rPr>
        <w:t>Capped Call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Capped Calls cover, subject to anti-dilution adjustments, substantially similar to those applicable to the conversion rate of the 2026 Senior Notes, the number of shares of common stock initially underlying the 2026 Senior Notes, or up to approximately 4.7 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 per share of our common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which represents a premium of 100% over the close price of our common stock of $53.68 per share on March 22, 2021 and is subject to certain customary adjustments under the terms of the Capped Calls.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Capped Calls are considered indexed to our own stock and are considered equity classified under GAAP, and were recorded as a reduction to additional paid-in-capital within stockholders’ equity on our consolidated balance sheet when the Capped Calls were purchased in March 2021. The Capped Calls are not accounted for as derivatives and their fair value is not remeasured each reporting period. In addition, upon entering into the Capped Calls we recorded an associated deferred tax asset of $9 million, as we made an income tax election allowable under the Internal Revenue Service (“IRS”) regulations in order to recover the cost of the Capped Calls as interest expense for income tax purposes only over the term of the 2026 Senior Notes. </w:t>
      </w:r>
    </w:p>
    <w:p>
      <w:pPr>
        <w:pStyle w:val="TextBody"/>
        <w:bidi w:val="0"/>
        <w:spacing w:before="360" w:after="283"/>
        <w:jc w:val="left"/>
        <w:rPr>
          <w:rFonts w:ascii="Times New Roman" w:hAnsi="Times New Roman"/>
          <w:sz w:val="20"/>
        </w:rPr>
      </w:pPr>
      <w:r>
        <w:rPr>
          <w:rFonts w:ascii="Times New Roman" w:hAnsi="Times New Roman"/>
          <w:b/>
          <w:color w:val="000000"/>
          <w:sz w:val="20"/>
        </w:rPr>
        <w:t>NOTE 9: OTHER LONG-TERM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long-term liabilities consisted of the following as of the dates presented: </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3856"/>
        <w:gridCol w:w="146"/>
        <w:gridCol w:w="599"/>
        <w:gridCol w:w="901"/>
        <w:gridCol w:w="146"/>
        <w:gridCol w:w="146"/>
        <w:gridCol w:w="499"/>
        <w:gridCol w:w="100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Unrecognized tax benefits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Deferred gain on equity method investment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10: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 xml:space="preserve">for further information. Amounts include accrued interest related to this liability.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 xml:space="preserve">Amount relates to long-term portion of a deferred income liability recorded as a result of an equity method investment. Refer to “Note 3: </w:t>
      </w:r>
      <w:r>
        <w:rPr>
          <w:rFonts w:ascii="Times New Roman" w:hAnsi="Times New Roman"/>
          <w:i/>
          <w:color w:val="000000"/>
          <w:sz w:val="16"/>
        </w:rPr>
        <w:t>Financial Instruments and Fair Value Measurements</w:t>
      </w:r>
      <w:r>
        <w:rPr>
          <w:rFonts w:ascii="Times New Roman" w:hAnsi="Times New Roman"/>
          <w:color w:val="000000"/>
          <w:sz w:val="20"/>
        </w:rPr>
        <w:t xml:space="preserve">” </w:t>
      </w:r>
      <w:r>
        <w:rPr>
          <w:rFonts w:ascii="Times New Roman" w:hAnsi="Times New Roman"/>
          <w:color w:val="000000"/>
          <w:sz w:val="16"/>
        </w:rPr>
        <w:t>for additional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NOTE 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domestic and foreign income before income taxes for the periods presented: </w:t>
      </w:r>
    </w:p>
    <w:p>
      <w:pPr>
        <w:pStyle w:val="TextBody"/>
        <w:bidi w:val="0"/>
        <w:jc w:val="left"/>
        <w:rPr/>
      </w:pPr>
      <w:r>
        <w:rPr/>
        <w:t> </w:t>
      </w:r>
    </w:p>
    <w:tbl>
      <w:tblPr>
        <w:tblW w:w="5473" w:type="dxa"/>
        <w:jc w:val="left"/>
        <w:tblInd w:w="0" w:type="dxa"/>
        <w:tblLayout w:type="fixed"/>
        <w:tblCellMar>
          <w:top w:w="28" w:type="dxa"/>
          <w:left w:w="28" w:type="dxa"/>
          <w:bottom w:w="28" w:type="dxa"/>
          <w:right w:w="28" w:type="dxa"/>
        </w:tblCellMar>
      </w:tblPr>
      <w:tblGrid>
        <w:gridCol w:w="2866"/>
        <w:gridCol w:w="146"/>
        <w:gridCol w:w="211"/>
        <w:gridCol w:w="316"/>
        <w:gridCol w:w="146"/>
        <w:gridCol w:w="146"/>
        <w:gridCol w:w="211"/>
        <w:gridCol w:w="316"/>
        <w:gridCol w:w="146"/>
        <w:gridCol w:w="146"/>
        <w:gridCol w:w="211"/>
        <w:gridCol w:w="42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components of our provision (benefit) for income taxes consisted of the following for the periods presented: </w:t>
      </w:r>
    </w:p>
    <w:p>
      <w:pPr>
        <w:pStyle w:val="TextBody"/>
        <w:bidi w:val="0"/>
        <w:jc w:val="left"/>
        <w:rPr/>
      </w:pPr>
      <w:r>
        <w:rPr/>
        <w:t> </w:t>
      </w:r>
    </w:p>
    <w:tbl>
      <w:tblPr>
        <w:tblW w:w="6258" w:type="dxa"/>
        <w:jc w:val="left"/>
        <w:tblInd w:w="0" w:type="dxa"/>
        <w:tblLayout w:type="fixed"/>
        <w:tblCellMar>
          <w:top w:w="28" w:type="dxa"/>
          <w:left w:w="28" w:type="dxa"/>
          <w:bottom w:w="28" w:type="dxa"/>
          <w:right w:w="28" w:type="dxa"/>
        </w:tblCellMar>
      </w:tblPr>
      <w:tblGrid>
        <w:gridCol w:w="3256"/>
        <w:gridCol w:w="146"/>
        <w:gridCol w:w="211"/>
        <w:gridCol w:w="346"/>
        <w:gridCol w:w="166"/>
        <w:gridCol w:w="146"/>
        <w:gridCol w:w="211"/>
        <w:gridCol w:w="421"/>
        <w:gridCol w:w="166"/>
        <w:gridCol w:w="146"/>
        <w:gridCol w:w="211"/>
        <w:gridCol w:w="421"/>
        <w:gridCol w:w="4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significant components of our deferred tax assets and deferred tax liabilities consisted of the following as of the dates presented: </w:t>
      </w:r>
    </w:p>
    <w:p>
      <w:pPr>
        <w:pStyle w:val="TextBody"/>
        <w:bidi w:val="0"/>
        <w:jc w:val="left"/>
        <w:rPr/>
      </w:pPr>
      <w:r>
        <w:rPr/>
        <w:t> </w:t>
      </w:r>
    </w:p>
    <w:tbl>
      <w:tblPr>
        <w:tblW w:w="4904" w:type="dxa"/>
        <w:jc w:val="left"/>
        <w:tblInd w:w="0" w:type="dxa"/>
        <w:tblLayout w:type="fixed"/>
        <w:tblCellMar>
          <w:top w:w="28" w:type="dxa"/>
          <w:left w:w="28" w:type="dxa"/>
          <w:bottom w:w="28" w:type="dxa"/>
          <w:right w:w="28" w:type="dxa"/>
        </w:tblCellMar>
      </w:tblPr>
      <w:tblGrid>
        <w:gridCol w:w="2851"/>
        <w:gridCol w:w="146"/>
        <w:gridCol w:w="211"/>
        <w:gridCol w:w="481"/>
        <w:gridCol w:w="166"/>
        <w:gridCol w:w="146"/>
        <w:gridCol w:w="211"/>
        <w:gridCol w:w="481"/>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financing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advertising spend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 carryforward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carryforward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 corporate headquarters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we had U.S. federal, state, and foreign net operating loss carryforwards (“NOLs”) of approximately $72 million, $44 million, and $424 million, respectively. U.S. federal NOLs of $72 million expire at various times starting from 2029. State NOLs of $6 million may be carried forward indefinitely, while the remaining state NOLs of $38 million expire at various times starting from 2029. Foreign NOLs of $410 million may be carried forward indefinitely, while the remaining foreign NOLs of $14 million expire at various times starting from 2026. Additionally, we had a U.S. capital loss carryforward of $8 million as of December 31, 2025. A full valuation allowance has been recorded against this asset, as we do not expect to utilize it prior to its 2029 expiration.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a valuation allowance of approximately $122 million related to certain foreign NOLs carryforwards and other foreign deferred tax assets for which it is more likely than not, the tax benefit will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for such foreign NOLs and other foreign deferred tax assets, discussed above, we expect to realize all of our deferred tax assets. Due to economic uncertainty and global inflationary pressures, we will continue to monitor our financial performance to determine if the valuation allowance against our deferred tax assets may be necessary in the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A reconciliation of the provision for income taxes to the amount computed by applying the 21% statutory U.S. federal income tax rate to income before income taxes after the adoption of ASU 2023-09 is as follows: </w:t>
      </w:r>
    </w:p>
    <w:tbl>
      <w:tblPr>
        <w:tblW w:w="8316" w:type="dxa"/>
        <w:jc w:val="left"/>
        <w:tblInd w:w="0" w:type="dxa"/>
        <w:tblLayout w:type="fixed"/>
        <w:tblCellMar>
          <w:top w:w="28" w:type="dxa"/>
          <w:left w:w="28" w:type="dxa"/>
          <w:bottom w:w="28" w:type="dxa"/>
          <w:right w:w="28" w:type="dxa"/>
        </w:tblCellMar>
      </w:tblPr>
      <w:tblGrid>
        <w:gridCol w:w="5386"/>
        <w:gridCol w:w="146"/>
        <w:gridCol w:w="345"/>
        <w:gridCol w:w="615"/>
        <w:gridCol w:w="210"/>
        <w:gridCol w:w="185"/>
        <w:gridCol w:w="185"/>
        <w:gridCol w:w="668"/>
        <w:gridCol w:w="576"/>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(in millions)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Percent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Domestic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Alternative energy tax credits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GILTI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FDII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State and local income taxes, net of federal income tax effect</w:t>
            </w:r>
            <w:r>
              <w:rPr>
                <w:rFonts w:ascii="Times New Roman" w:hAnsi="Times New Roman"/>
                <w:color w:val="000000"/>
                <w:sz w:val="20"/>
              </w:rPr>
              <w:t>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tax rate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tax rate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tax rate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Statutory tax rate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Worldwide 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pPr>
      <w:r>
        <w:rPr>
          <w:rFonts w:ascii="Times New Roman" w:hAnsi="Times New Roman"/>
          <w:color w:val="000000"/>
          <w:sz w:val="16"/>
        </w:rPr>
        <w:t xml:space="preserve">During the year ended December 31, 2025, </w:t>
      </w:r>
      <w:r>
        <w:rPr>
          <w:rFonts w:ascii="Times New Roman" w:hAnsi="Times New Roman"/>
          <w:color w:val="222222"/>
          <w:sz w:val="16"/>
        </w:rPr>
        <w:t>pursuant to provisions allowable under the Inflation Reduction Act,</w:t>
      </w:r>
      <w:r>
        <w:rPr>
          <w:color w:val="000000"/>
        </w:rPr>
        <w:t xml:space="preserve"> </w:t>
      </w:r>
      <w:r>
        <w:rPr>
          <w:rFonts w:ascii="Times New Roman" w:hAnsi="Times New Roman"/>
          <w:color w:val="000000"/>
          <w:sz w:val="16"/>
        </w:rPr>
        <w:t>the Company purchased $22</w:t>
      </w:r>
      <w:r>
        <w:rPr>
          <w:color w:val="000000"/>
        </w:rPr>
        <w:t xml:space="preserve"> </w:t>
      </w:r>
      <w:r>
        <w:rPr>
          <w:rFonts w:ascii="Times New Roman" w:hAnsi="Times New Roman"/>
          <w:color w:val="000000"/>
          <w:sz w:val="16"/>
        </w:rPr>
        <w:t>million of alternative energy federal tax credits from an unrelated third party. The Company anticipates utilizing the majority of these tax credits in 2025, while using any remaining credits in 2026. During the year ended December 31, 2025, the Company recorded a $3</w:t>
      </w:r>
      <w:r>
        <w:rPr>
          <w:color w:val="000000"/>
        </w:rPr>
        <w:t xml:space="preserve"> </w:t>
      </w:r>
      <w:r>
        <w:rPr>
          <w:rFonts w:ascii="Times New Roman" w:hAnsi="Times New Roman"/>
          <w:color w:val="000000"/>
          <w:sz w:val="16"/>
        </w:rPr>
        <w:t xml:space="preserve">million income tax benefit upon the purchase of these federal tax credits.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state and local jurisdictions that contribute to the majority (greater than 50%) of the tax effect in this category include Illinois, California, Massachusetts, New York state and city.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provision for income taxes to the amount computed by applying the 21% statutory U.S. federal income tax rate to income before income taxes for years prior to the adoption of ASU 2023-09 is as follows:</w:t>
      </w:r>
    </w:p>
    <w:tbl>
      <w:tblPr>
        <w:tblW w:w="6762" w:type="dxa"/>
        <w:jc w:val="left"/>
        <w:tblInd w:w="0" w:type="dxa"/>
        <w:tblLayout w:type="fixed"/>
        <w:tblCellMar>
          <w:top w:w="28" w:type="dxa"/>
          <w:left w:w="28" w:type="dxa"/>
          <w:bottom w:w="28" w:type="dxa"/>
          <w:right w:w="28" w:type="dxa"/>
        </w:tblCellMar>
      </w:tblPr>
      <w:tblGrid>
        <w:gridCol w:w="4411"/>
        <w:gridCol w:w="146"/>
        <w:gridCol w:w="286"/>
        <w:gridCol w:w="428"/>
        <w:gridCol w:w="225"/>
        <w:gridCol w:w="198"/>
        <w:gridCol w:w="286"/>
        <w:gridCol w:w="571"/>
        <w:gridCol w:w="2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effect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 and related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IRS audit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Additional IRS audit impacts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pricing reserve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FDII, GILTI and other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Amount relates to incremental interest associated with the 2009 through 2011 tax years IRS audit period with Expedia. See below for further information regarding this IRS audit settlement.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4, 2025, the One Big Beautiful Bill Act (“the Act”) was enacted into law in the United States, with certain provisions of the Act effective in 2025 and other provisions becoming effective in 2026 and beyond. The provisions of the Act effective in 2025 were not material and have been reflected in our results, as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one-time transition tax on the deemed repatriation of undistributed foreign subsidiary earnings and profits in 2017, the majority of previously unremitted earnings have been subjected to U.S. federal income tax. To the extent future distributions from these subsidiaries will be taxable, a deferred tax liability has been accrued which was not material as of December 31, 2025. As of December 31, 2025, $584 million of our cumulative undistributed foreign earnings were no longer considered to be indefinitely reinvested.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Tripadvisor continues to be subject to certain post Spin-Off obligations under the Tax Sharing Agreement for the 2011 tax year, whereby Tripadvisor is generally required to indemnify Expedia for any taxes resulting from the Spin-Off to the extent such amounts resulted from (i) any act or failure to act by Tripadvisor described in the covenants in the tax sharing agreement, (ii) any 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under examination by the IRS for the 2018 tax year and have various ongoing audits for foreign and state income tax returns. These examinations may lead to proposed or ordinary course adjustments to our taxes. We are no longer subject to tax examinations by tax authorities for years prior to 2018. As of December 31, 2025, no material assessments have resulted, except as noted below regarding our 2009, 2010, and 2011 IRS audit with Expedia, our 2014 through 2016 standalone IRS audit, and our 2012 through 2016 HM Revenue &amp; Customs (“HMRC”) audit.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disclosed, we received Notices of Proposed Adjustments ("NOPA") from the IRS for the 2014 through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During the year ended December 31, 2024, we recorded an income tax expense of $42 million, inclusive of interest, related to this settlement on our consolidated statement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operations. The impact to our operating cash in connection with this IRS audit settlement was as follows: (i) during the second quarter of 2024, we made a payment to the IRS of $141 million, inclusive of estimated interest, (ii) during the second half of 2024, we made various state tax payments totaling $26 million, inclusive of estimated interest, and (iii) during the fourth quarter of 2024, we received a competent authority refund of $42 million, inclusive of net interest income, from a foreign jurisdiction. This IRS audit settlement resulted in total net operating cash outflow during 2024 of $105 million, which includes federal tax benefits from these payments of $20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previously disclosed, we received a NOPA from the IRS for the 2009 through 2011 tax years relating to certain transfer pricing arrangements with our foreign subsidiaries. In response, we requested competent authority assistance under MAP for the 2009 through 2011 tax years. In January 2023, we received notification of a MAP resolution agreement for the 2009 through 2011 tax years, which we accepted in February 2023. During the year ended December 31, 2023, we recorded additional income tax expense of $31 million, inclusive of interest, related to this settlement on our consolidated statement of operations. In addition, during 2023, we reviewed the impact of the acceptance of this settlement position against our existing transfer pricing income tax reserves for the subsequent open tax years, which resulted in incremental income tax expense, inclusive of estimated interest, of $24 million. The total impact of these two adjustments resulted in an incremental income tax expense of $55 million recorded during 2023. The impact to our operating cash in connection with this IRS audit settlement was as follows: (i) during the second quarter of 2023, we made a U.S. federal tax payment of $113 million, inclusive of interest, to Expedia related to this IRS audit settlement, pursuant to the Tax Sharing Agreement with Expedia, and (ii) during the third quarter of 2023, we received a competent authority refund of $49 million, inclusive of interest income, from a foreign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2023. If HMRC were to seek adjustments of a similar nature through a closure notice for transactions in these years, we could be subject to significant additional tax liabilities. Our policy is to review and update tax reserves as facts and circumstances 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 of gross unrecognized tax benefits (excluding interest and penalties) is as follows during the periods presented: </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4501"/>
        <w:gridCol w:w="146"/>
        <w:gridCol w:w="211"/>
        <w:gridCol w:w="346"/>
        <w:gridCol w:w="166"/>
        <w:gridCol w:w="146"/>
        <w:gridCol w:w="211"/>
        <w:gridCol w:w="421"/>
        <w:gridCol w:w="166"/>
        <w:gridCol w:w="146"/>
        <w:gridCol w:w="211"/>
        <w:gridCol w:w="421"/>
        <w:gridCol w:w="2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to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to tax positions related to the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due to lapsed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due to tax positions related to the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during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we had $73 million of unrecognized tax benefits, inclusive of interest, which is classified as long-term and included in other long-term liabilities on our consolidated balance sheet. We also had $43 million of unrecognized tax benefits classified as long-term and included as an offset to our deferred tax asset on our consolidated balance sheet. The amount of unrecognized tax benefits, if recognized, would reduce income tax expense by $45 million, excluding interest, due to correlative adjustments in other tax jurisdictions. We recognize interest and penalties related to unrecognized tax benefits in income tax expense on our consolidated statement of operations. As of December 31, 2025 and 2024, total gross interest accrued was $24 million and $22 million, respectively, and recorded to unrecognized tax benefits in other long-term liabilities on the consolidated balance sheets.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 of cash income taxes paid by the Company were as follows:</w:t>
      </w:r>
    </w:p>
    <w:tbl>
      <w:tblPr>
        <w:tblW w:w="5773" w:type="dxa"/>
        <w:jc w:val="left"/>
        <w:tblInd w:w="0" w:type="dxa"/>
        <w:tblLayout w:type="fixed"/>
        <w:tblCellMar>
          <w:top w:w="28" w:type="dxa"/>
          <w:left w:w="28" w:type="dxa"/>
          <w:bottom w:w="28" w:type="dxa"/>
          <w:right w:w="28" w:type="dxa"/>
        </w:tblCellMar>
      </w:tblPr>
      <w:tblGrid>
        <w:gridCol w:w="3241"/>
        <w:gridCol w:w="146"/>
        <w:gridCol w:w="797"/>
        <w:gridCol w:w="1198"/>
        <w:gridCol w:w="3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Portugal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net of amounts refunded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 COMMITMENTS</w:t>
      </w:r>
      <w:r>
        <w:rPr>
          <w:rFonts w:ascii="Times New Roman" w:hAnsi="Times New Roman"/>
          <w:color w:val="000000"/>
          <w:sz w:val="20"/>
        </w:rPr>
        <w:t xml:space="preserve"> </w:t>
      </w:r>
      <w:r>
        <w:rPr>
          <w:rFonts w:ascii="Times New Roman" w:hAnsi="Times New Roman"/>
          <w:b/>
          <w:color w:val="000000"/>
          <w:sz w:val="20"/>
        </w:rPr>
        <w:t>AND CONTINGENCIES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December 31, 2025, we have contractual obligations and commercial commitments that include expected interest payments on the Term Loan B Facility, expected commitment fees on our Credit Facility, and non-cancellable long-term purchase obligations, as summarized in the table below. The expected amounts and timing of payments discussed below were estimated based on information available to us as of December 31, 2025. </w:t>
      </w:r>
    </w:p>
    <w:tbl>
      <w:tblPr>
        <w:tblW w:w="10205" w:type="dxa"/>
        <w:jc w:val="left"/>
        <w:tblInd w:w="0" w:type="dxa"/>
        <w:tblLayout w:type="fixed"/>
        <w:tblCellMar>
          <w:top w:w="28" w:type="dxa"/>
          <w:left w:w="28" w:type="dxa"/>
          <w:bottom w:w="28" w:type="dxa"/>
          <w:right w:w="28" w:type="dxa"/>
        </w:tblCellMar>
      </w:tblPr>
      <w:tblGrid>
        <w:gridCol w:w="4563"/>
        <w:gridCol w:w="146"/>
        <w:gridCol w:w="211"/>
        <w:gridCol w:w="421"/>
        <w:gridCol w:w="146"/>
        <w:gridCol w:w="146"/>
        <w:gridCol w:w="306"/>
        <w:gridCol w:w="459"/>
        <w:gridCol w:w="146"/>
        <w:gridCol w:w="146"/>
        <w:gridCol w:w="314"/>
        <w:gridCol w:w="628"/>
        <w:gridCol w:w="146"/>
        <w:gridCol w:w="146"/>
        <w:gridCol w:w="314"/>
        <w:gridCol w:w="628"/>
        <w:gridCol w:w="146"/>
        <w:gridCol w:w="146"/>
        <w:gridCol w:w="322"/>
        <w:gridCol w:w="530"/>
        <w:gridCol w:w="195"/>
      </w:tblGrid>
      <w:tr>
        <w:trPr/>
        <w:tc>
          <w:tcPr>
            <w:tcW w:w="4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Period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interest payments on Term Loan B Facility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commitment fee payments on Credit Facility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Purchase obligations and other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The amounts included as expected interest payments on the Term Loan B Facility in this table are based on the effective interest rate as of December 31, 2025, however, the interest rate is variable and could change significantly in the future. Amount assumes that our existing debt is repaid at maturity. Refer to “Note 8: </w:t>
      </w:r>
      <w:r>
        <w:rPr>
          <w:rFonts w:ascii="Times New Roman" w:hAnsi="Times New Roman"/>
          <w:i/>
          <w:color w:val="000000"/>
          <w:sz w:val="16"/>
        </w:rPr>
        <w:t>Debt</w:t>
      </w:r>
      <w:r>
        <w:rPr>
          <w:rFonts w:ascii="Times New Roman" w:hAnsi="Times New Roman"/>
          <w:color w:val="000000"/>
          <w:sz w:val="20"/>
        </w:rPr>
        <w:t xml:space="preserve">” </w:t>
      </w:r>
      <w:r>
        <w:rPr>
          <w:rFonts w:ascii="Times New Roman" w:hAnsi="Times New Roman"/>
          <w:color w:val="000000"/>
          <w:sz w:val="16"/>
        </w:rPr>
        <w:t xml:space="preserve">for additional information on the Term Loan B Facility.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Expected commitment fee payments are based on the daily unused portion of our Credit Facility, issued letters of credit, and the effective commitment fee rate as of December 31, 2025; however, these variables could change significantly in the future. Refer to “Note 8: </w:t>
      </w:r>
      <w:r>
        <w:rPr>
          <w:rFonts w:ascii="Times New Roman" w:hAnsi="Times New Roman"/>
          <w:i/>
          <w:color w:val="000000"/>
          <w:sz w:val="16"/>
        </w:rPr>
        <w:t>Debt</w:t>
      </w:r>
      <w:r>
        <w:rPr>
          <w:rFonts w:ascii="Times New Roman" w:hAnsi="Times New Roman"/>
          <w:color w:val="000000"/>
          <w:sz w:val="20"/>
        </w:rPr>
        <w:t xml:space="preserve">” </w:t>
      </w:r>
      <w:r>
        <w:rPr>
          <w:rFonts w:ascii="Times New Roman" w:hAnsi="Times New Roman"/>
          <w:color w:val="000000"/>
          <w:sz w:val="16"/>
        </w:rPr>
        <w:t>for additional information on our Credit Facility.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Estimated purchase obligations that are fixed and determinable, primarily related to telecommunication and licensing contracts, with various expiration dates through December 2030.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sz w:val="20"/>
        </w:rPr>
      </w:pPr>
      <w:r>
        <w:rPr>
          <w:rFonts w:ascii="Times New Roman" w:hAnsi="Times New Roman"/>
          <w:color w:val="000000"/>
          <w:sz w:val="16"/>
        </w:rPr>
        <w:t>Excluded from the table is $4</w:t>
      </w:r>
      <w:r>
        <w:rPr>
          <w:rFonts w:ascii="Times New Roman" w:hAnsi="Times New Roman"/>
          <w:color w:val="000000"/>
          <w:sz w:val="20"/>
        </w:rPr>
        <w:t xml:space="preserve"> </w:t>
      </w:r>
      <w:r>
        <w:rPr>
          <w:rFonts w:ascii="Times New Roman" w:hAnsi="Times New Roman"/>
          <w:color w:val="000000"/>
          <w:sz w:val="16"/>
        </w:rPr>
        <w:t>million of undrawn standby letters of credit issued primarily as security deposits for certain office space leases as of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10: </w:t>
      </w:r>
      <w:r>
        <w:rPr>
          <w:rFonts w:ascii="Times New Roman" w:hAnsi="Times New Roman"/>
          <w:i/>
          <w:color w:val="000000"/>
          <w:sz w:val="20"/>
        </w:rPr>
        <w:t>Income Taxes</w:t>
      </w:r>
      <w:r>
        <w:rPr>
          <w:rFonts w:ascii="Times New Roman" w:hAnsi="Times New Roman"/>
          <w:color w:val="000000"/>
          <w:sz w:val="20"/>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10: </w:t>
      </w:r>
      <w:r>
        <w:rPr>
          <w:rFonts w:ascii="Times New Roman" w:hAnsi="Times New Roman"/>
          <w:i/>
          <w:color w:val="000000"/>
          <w:sz w:val="20"/>
        </w:rPr>
        <w:t>Income Taxes</w:t>
      </w:r>
      <w:r>
        <w:rPr>
          <w:rFonts w:ascii="Times New Roman" w:hAnsi="Times New Roman"/>
          <w:color w:val="000000"/>
          <w:sz w:val="20"/>
        </w:rPr>
        <w:t>” for further information on potential contingencies pertaining to ongoing income tax audits.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we had an accrual of $10 million in accrued expenses and other current liabilities on our consolidated balance sheet, as an estimated potential settlement of a regulatory related matter within our vacation rentals offering, which subsequently settled for $6 million in October 2025. The initial accrual of $10 million in 2024 and subsequent release of $4 million in 2025 were included in general and administrative expenses in our consolidated statements of operations for those years.</w:t>
      </w:r>
    </w:p>
    <w:p>
      <w:pPr>
        <w:pStyle w:val="TextBody"/>
        <w:bidi w:val="0"/>
        <w:spacing w:before="360" w:after="283"/>
        <w:jc w:val="left"/>
        <w:rPr>
          <w:rFonts w:ascii="Times New Roman" w:hAnsi="Times New Roman"/>
          <w:sz w:val="20"/>
        </w:rPr>
      </w:pPr>
      <w:r>
        <w:rPr>
          <w:rFonts w:ascii="Times New Roman" w:hAnsi="Times New Roman"/>
          <w:b/>
          <w:color w:val="000000"/>
          <w:sz w:val="20"/>
        </w:rPr>
        <w:t>NOTE 12: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Retirement Savings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Tripadvisor Retirement Savings Plan (the “401(k) Plan”), qualifies under Section 401(k) of the Internal Revenue Code. The 401(k) Plan allows participating employees, which includes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various defined contribution plans for our non-U.S. employees. Our contribution to the 401(k) Plan and our non-U.S. defined contribution plans which are recorded in our consolidated statements of operations during each of the years ended December 31, 2025, 2024 and 2023, was $12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Compensation Plan for Non-Employee Directors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deferred compensation plan for non-employee directors (the “Deferred Compensation Plan”), which was amended and restated on July 24, 2025. Under the Deferred Compensation Plan, eligible directors who defer their directors’ fees may elect to defer (i) all or a portion of the cash compensation payable for services performed as a director and/or (ii) all of the equity compensation payable for services performed. Deferred cash compensation can be either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lending rate of a financial institution selected in accordance with the terms of the Deferred Compensation Plan and applicable law. Deferred equity awards may only be deferred into deferred share units. Upon separation from service as a director of Tripadvisor, a director will receive (i) with respect to share units, such number of shares of our common stock as the share units represent, and (ii) with respect to the cash fund, a cash payment. Payments upon termination will be made in one lump sum on January 15 of the calendar year following the year in which the director's separation from service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Deferred Compensation Plan, 100,000 shares of Tripadvisor common stock are available for issuance to non-employee directors. From the inception of the Deferred Compensation Plan through December 31, 2025, a total of 557 shares have been issued for such purpose. </w:t>
      </w:r>
    </w:p>
    <w:p>
      <w:pPr>
        <w:pStyle w:val="TextBody"/>
        <w:bidi w:val="0"/>
        <w:spacing w:before="360" w:after="283"/>
        <w:jc w:val="left"/>
        <w:rPr>
          <w:rFonts w:ascii="Times New Roman" w:hAnsi="Times New Roman"/>
          <w:sz w:val="20"/>
        </w:rPr>
      </w:pPr>
      <w:r>
        <w:rPr>
          <w:rFonts w:ascii="Times New Roman" w:hAnsi="Times New Roman"/>
          <w:b/>
          <w:i/>
          <w:color w:val="000000"/>
          <w:sz w:val="20"/>
        </w:rPr>
        <w:t>Executive Severance Plan and Summary Plan Description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the Executive Severance Plan and Summary Plan Description (the “Severance Plan”) which is applicable to certain employees of the Company and its subsidiaries, which was amended and restated on August 5, 2025.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 During each of the years ended December 31, 2025, 2024 and 2023, respectively, we recognized $2 million of expense under the Severance Plan on our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13: STOCK BASED AWARDS AND OTHER EQUITY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amount of stock-based compensation expense and the related income tax benefit included in our consolidated statements of operations during the periods presented: </w:t>
      </w:r>
    </w:p>
    <w:p>
      <w:pPr>
        <w:pStyle w:val="TextBody"/>
        <w:bidi w:val="0"/>
        <w:jc w:val="left"/>
        <w:rPr/>
      </w:pPr>
      <w:r>
        <w:rPr/>
        <w:t> </w:t>
      </w:r>
    </w:p>
    <w:tbl>
      <w:tblPr>
        <w:tblW w:w="8033" w:type="dxa"/>
        <w:jc w:val="left"/>
        <w:tblInd w:w="0" w:type="dxa"/>
        <w:tblLayout w:type="fixed"/>
        <w:tblCellMar>
          <w:top w:w="28" w:type="dxa"/>
          <w:left w:w="28" w:type="dxa"/>
          <w:bottom w:w="28" w:type="dxa"/>
          <w:right w:w="28" w:type="dxa"/>
        </w:tblCellMar>
      </w:tblPr>
      <w:tblGrid>
        <w:gridCol w:w="5001"/>
        <w:gridCol w:w="146"/>
        <w:gridCol w:w="211"/>
        <w:gridCol w:w="421"/>
        <w:gridCol w:w="166"/>
        <w:gridCol w:w="146"/>
        <w:gridCol w:w="211"/>
        <w:gridCol w:w="421"/>
        <w:gridCol w:w="166"/>
        <w:gridCol w:w="146"/>
        <w:gridCol w:w="211"/>
        <w:gridCol w:w="376"/>
        <w:gridCol w:w="41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from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 net of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capitalized $12 million, $13 million and $10 million of stock-based compensation expense as website development costs during the years ended December 31, 2025, 2024 and 2023,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Stock and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12: </w:t>
      </w:r>
      <w:r>
        <w:rPr>
          <w:rFonts w:ascii="Times New Roman" w:hAnsi="Times New Roman"/>
          <w:i/>
          <w:color w:val="000000"/>
          <w:sz w:val="20"/>
        </w:rPr>
        <w:t>Employee Benefit Plans</w:t>
      </w:r>
      <w:r>
        <w:rPr>
          <w:rFonts w:ascii="Times New Roman" w:hAnsi="Times New Roman"/>
          <w:color w:val="000000"/>
          <w:sz w:val="20"/>
        </w:rPr>
        <w:t xml:space="preserve">” for information on our Deferred Compensation Plan for Non-Employee Directors). At our annual meeting of stockholders held on June 28, 2013, our stockholders approved an amendment to our 2011 Plan to, among other things, increase the aggregate number of shares of common stock authorized for issuance thereunder by 15,000,000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On June 8, 2021, our stockholders approved an amendment to the Company’s 2018 Plan to, among other things, increase the aggregate number of shares reserved and available for issuance under the 2018 Plan by 10,000,000 shares. The purpose of this amendment was to provide sufficient reserves of shares of our common stock to ensure our ability to continue to provide new hires, employees and management with equity incentives.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6, 2023, our stockholders approved the TripAdvisor, Inc. 2023 Stock and Annual Incentive Plan (the “2023 Plan”) primarily for the purpose of providing sufficient reserves of shares of our common stock to ensure our ability to continue to provide new hires, employees, and other participants with equity incentives. The 2023 Plan provides for the grant of stock options, stock appreciation rights, restricted stock, restricted stock units (“RSUs”), and other stock-based awards. As of the effective date of the 2023 Plan, the Company ceased granting awards under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total number of shares reserved for future stock-based awards under the 2023 Plan was approximately 13 million shares. All shares of common stock issued to date in respect of the exercise of options, RSUs, or other equity awards have been issued from authorized, but unissued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Stock Based Award Activity and Valuation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2025 Stock Option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our stock option activity, consisting of service-based non-qualified stock options, is presented below: </w:t>
      </w:r>
    </w:p>
    <w:tbl>
      <w:tblPr>
        <w:tblW w:w="9726" w:type="dxa"/>
        <w:jc w:val="left"/>
        <w:tblInd w:w="0" w:type="dxa"/>
        <w:tblLayout w:type="fixed"/>
        <w:tblCellMar>
          <w:top w:w="28" w:type="dxa"/>
          <w:left w:w="28" w:type="dxa"/>
          <w:bottom w:w="28" w:type="dxa"/>
          <w:right w:w="28" w:type="dxa"/>
        </w:tblCellMar>
      </w:tblPr>
      <w:tblGrid>
        <w:gridCol w:w="4621"/>
        <w:gridCol w:w="146"/>
        <w:gridCol w:w="228"/>
        <w:gridCol w:w="897"/>
        <w:gridCol w:w="166"/>
        <w:gridCol w:w="146"/>
        <w:gridCol w:w="214"/>
        <w:gridCol w:w="582"/>
        <w:gridCol w:w="146"/>
        <w:gridCol w:w="146"/>
        <w:gridCol w:w="284"/>
        <w:gridCol w:w="707"/>
        <w:gridCol w:w="146"/>
        <w:gridCol w:w="146"/>
        <w:gridCol w:w="362"/>
        <w:gridCol w:w="598"/>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Vested and expected to vest after December 31, 2025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closing stock price of our common stock and the exercise price of outstanding, in-the-money options. Our closing stock price as reported on Nasdaq as of December 31, 2025 was $14.56. The total intrinsic value of stock options exercised for the years ended December 31, 2025, 2024, and 2023 was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 grants has been estimated at the date of grant using the Black–Scholes option pricing model with the following weighted average assumptions for the periods presented: </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3271"/>
        <w:gridCol w:w="146"/>
        <w:gridCol w:w="211"/>
        <w:gridCol w:w="571"/>
        <w:gridCol w:w="271"/>
        <w:gridCol w:w="146"/>
        <w:gridCol w:w="211"/>
        <w:gridCol w:w="571"/>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stock options granted during the year ended December 31, 2025. The total fair value of stock options vested for the years ended December 31, 2025, 2024 and 2023 were $3 million, $7 million, and $7 million, respectively. Cash received from stock option exercises for the years ended December 31, 2025, 2024, and 2023 was not 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2025 RSU Activity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summary of our RSU activity, consisting of service-based vesting terms, is presented below: </w:t>
      </w:r>
    </w:p>
    <w:p>
      <w:pPr>
        <w:pStyle w:val="TextBody"/>
        <w:bidi w:val="0"/>
        <w:jc w:val="left"/>
        <w:rPr/>
      </w:pPr>
      <w:r>
        <w:rPr/>
        <w:t> </w:t>
      </w:r>
    </w:p>
    <w:tbl>
      <w:tblPr>
        <w:tblW w:w="8967" w:type="dxa"/>
        <w:jc w:val="left"/>
        <w:tblInd w:w="0" w:type="dxa"/>
        <w:tblLayout w:type="fixed"/>
        <w:tblCellMar>
          <w:top w:w="28" w:type="dxa"/>
          <w:left w:w="28" w:type="dxa"/>
          <w:bottom w:w="28" w:type="dxa"/>
          <w:right w:w="28" w:type="dxa"/>
        </w:tblCellMar>
      </w:tblPr>
      <w:tblGrid>
        <w:gridCol w:w="4651"/>
        <w:gridCol w:w="146"/>
        <w:gridCol w:w="199"/>
        <w:gridCol w:w="926"/>
        <w:gridCol w:w="166"/>
        <w:gridCol w:w="146"/>
        <w:gridCol w:w="347"/>
        <w:gridCol w:w="943"/>
        <w:gridCol w:w="146"/>
        <w:gridCol w:w="146"/>
        <w:gridCol w:w="319"/>
        <w:gridCol w:w="641"/>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Vested and released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Unvested RSUs outstanding as of December 31, 2025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Inclusive of approximately 87,000</w:t>
      </w:r>
      <w:r>
        <w:rPr>
          <w:rFonts w:ascii="Times New Roman" w:hAnsi="Times New Roman"/>
          <w:color w:val="000000"/>
          <w:sz w:val="20"/>
        </w:rPr>
        <w:t xml:space="preserve"> </w:t>
      </w:r>
      <w:r>
        <w:rPr>
          <w:rFonts w:ascii="Times New Roman" w:hAnsi="Times New Roman"/>
          <w:color w:val="000000"/>
          <w:sz w:val="16"/>
        </w:rPr>
        <w:t>deferred stock units (“DSUs”) granted to certain non-employee directors during 2025. Each DSU represents the right to receive one share of the Company’s common stock upon vesting. The DSUs shall vest one year after the grant date. However, settlement of the shares represented by DSUs that vest will occur on January 15th of the calendar year immediately following the year in which the director experiences a "separation of service" as defined in Section 409A of the Internal Revenue Code of 1986.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Inclusive of approximately 1,088,000</w:t>
      </w:r>
      <w:r>
        <w:rPr>
          <w:rFonts w:ascii="Times New Roman" w:hAnsi="Times New Roman"/>
          <w:color w:val="000000"/>
          <w:sz w:val="20"/>
        </w:rPr>
        <w:t xml:space="preserve"> </w:t>
      </w:r>
      <w:r>
        <w:rPr>
          <w:rFonts w:ascii="Times New Roman" w:hAnsi="Times New Roman"/>
          <w:color w:val="000000"/>
          <w:sz w:val="16"/>
        </w:rPr>
        <w:t>shares of common stock withheld in connection with RSU vestings to satisfy required employee tax withholding requirements. Shares which could have been issued in connection with the vesting of RSUs but were instead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fair value of RSUs vested for the years ended December 31, 2025, 2024, and 2023 was $124 million, $118 million, and $109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our performance-based RSUs ("PSUs") and market-based RSUs (“MSUs”) activity is presented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4"/>
        <w:gridCol w:w="146"/>
        <w:gridCol w:w="214"/>
        <w:gridCol w:w="841"/>
        <w:gridCol w:w="166"/>
        <w:gridCol w:w="146"/>
        <w:gridCol w:w="269"/>
        <w:gridCol w:w="733"/>
        <w:gridCol w:w="146"/>
        <w:gridCol w:w="146"/>
        <w:gridCol w:w="362"/>
        <w:gridCol w:w="545"/>
        <w:gridCol w:w="146"/>
        <w:gridCol w:w="146"/>
        <w:gridCol w:w="245"/>
        <w:gridCol w:w="810"/>
        <w:gridCol w:w="166"/>
        <w:gridCol w:w="146"/>
        <w:gridCol w:w="269"/>
        <w:gridCol w:w="733"/>
        <w:gridCol w:w="146"/>
        <w:gridCol w:w="146"/>
        <w:gridCol w:w="342"/>
        <w:gridCol w:w="565"/>
        <w:gridCol w:w="197"/>
      </w:tblGrid>
      <w:tr>
        <w:trPr/>
        <w:tc>
          <w:tcPr>
            <w:tcW w:w="2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PSUs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MSUs </w:t>
            </w:r>
            <w:r>
              <w:rPr>
                <w:rFonts w:ascii="Times New Roman" w:hAnsi="Times New Roman"/>
                <w:b/>
                <w:color w:val="000000"/>
                <w:sz w:val="12"/>
              </w:rPr>
              <w:t>(2)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Vested and released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Cancelled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is measured based on the quoted price of our common stock at the date of grant, calculated upon the establishment of performance targets,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and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MSUs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Inclusive of approximately 154,000 shares of common stock withheld in connection with PSU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employees’ tax obligations to the taxing authorities due to net share settlements are reflected as a financing activity within the consolidated statement of cash flows.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MSU cancellations reflect performance targets not being attained by the end of the performance period during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total unrecognized compensation cost related to stock-based awards, substantially RSUs (including PSUs, MSUs and DSUs), was $174 million, which the Company expects to recognize over a weighted-average period of 2.3 years.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common stock, we are authorized to issue up to 100 million preferred shares, with $0.001 par value per share, with terms determined by our Board of Directors, without further action by our stockholders. As of December 31, 2025, no preferred shares had been issued.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and Class B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authorized common stock consists of 1.6 billion shares of common stock with par value of $0.001 per share, and 400 million shares of Class B common stock with par value of $0.001 per share. Refer to “Note 1: </w:t>
      </w:r>
      <w:r>
        <w:rPr>
          <w:rFonts w:ascii="Times New Roman" w:hAnsi="Times New Roman"/>
          <w:i/>
          <w:color w:val="000000"/>
          <w:sz w:val="20"/>
        </w:rPr>
        <w:t>Organization and Business Description</w:t>
      </w:r>
      <w:r>
        <w:rPr>
          <w:rFonts w:ascii="Times New Roman" w:hAnsi="Times New Roman"/>
          <w:color w:val="000000"/>
          <w:sz w:val="20"/>
        </w:rPr>
        <w:t>” and section titled “</w:t>
      </w:r>
      <w:r>
        <w:rPr>
          <w:rFonts w:ascii="Times New Roman" w:hAnsi="Times New Roman"/>
          <w:i/>
          <w:color w:val="000000"/>
          <w:sz w:val="20"/>
        </w:rPr>
        <w:t xml:space="preserve">Retirement of Treasury Shares” </w:t>
      </w:r>
      <w:r>
        <w:rPr>
          <w:rFonts w:ascii="Times New Roman" w:hAnsi="Times New Roman"/>
          <w:color w:val="000000"/>
          <w:sz w:val="20"/>
        </w:rPr>
        <w:t>below within this Note, for further discussion on the repurchase of all outstanding Class B common stock in the Merger on April 29, 2025 and the subsequent retirement of these shares, respectively. Our common stock qualify for and share equally in dividends, if declared by our Board of Directors. Common stock is entitled to one vote per share. Holders of Tripadvisor common stock, acting as a single class, are entitled to elect a number of directors equal to 25% of the total number of directors, rounded up to the next whole number, which was two directors as of December 31, 2025.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120,577,305 and 114,472,043 shares of common stock issued and outstanding, respectively, at December 31, 2025. There were no Class B shares issued and outstanding as of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Accumulated Other Comprehensive Income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Accumulated other comprehensive income (loss) consists of the following as of the dates presented: </w:t>
      </w:r>
    </w:p>
    <w:tbl>
      <w:tblPr>
        <w:tblW w:w="9130" w:type="dxa"/>
        <w:jc w:val="left"/>
        <w:tblInd w:w="0" w:type="dxa"/>
        <w:tblLayout w:type="fixed"/>
        <w:tblCellMar>
          <w:top w:w="28" w:type="dxa"/>
          <w:left w:w="28" w:type="dxa"/>
          <w:bottom w:w="28" w:type="dxa"/>
          <w:right w:w="28" w:type="dxa"/>
        </w:tblCellMar>
      </w:tblPr>
      <w:tblGrid>
        <w:gridCol w:w="5461"/>
        <w:gridCol w:w="146"/>
        <w:gridCol w:w="537"/>
        <w:gridCol w:w="963"/>
        <w:gridCol w:w="166"/>
        <w:gridCol w:w="146"/>
        <w:gridCol w:w="537"/>
        <w:gridCol w:w="963"/>
        <w:gridCol w:w="2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Cumulative foreign currency translation adjustments, net of tax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Deferred income tax liabilities related to these amounts are not material.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Treasury Stock</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Repurchases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 2019, our Board of Directors authorized the repurchase of an additional $100 million in shares of our common stock under an existing share repurchase program, which increased the amount available to the Company under this share repurchase program to $250 million. Our Board of Directors authorized and directed management, working with the Executive Committee of our Board of Directors, to affect the share repurchase program in compliance with applicable legal requirements. As of December 31, 2022, the Company had $75 million remaining under this existing share repurchase program to repurchase shares of its common stock. During the year ended December 31, 2023, we repurchased 4,724,729 shares of our outstanding common stock at an average price of $15.85 per share, exclusive of fees, commissions, and excise taxes or $75 million in the aggregate, which completed this share repurchase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our Board of Directors authorized the repurchase of $250 million in shares of our common stock under a share repurchase program. Our Board of Directors authorized and directed management to effect the share repurchase program in compliance with applicable legal requirements. Management will determine the price, timing, amount and method of such repurchases based on its evaluation of market conditions and other factors, and at prices determined to be attractive and in the best interests of both the Company and its stockholders. This share repurchase program does not have a fixed expiration date or obligate the Company to acquire any particular number of shares and may be modified, suspended or discontinued at any time. During the year ended December 31, 2023, we repurchased 1,324,524 shares of our outstanding common stock at an average price of $18.85 per share, exclusive of fees, commissions, and excise taxes, or $25 million, under this share repurchase program. During the year ended December 31, 2024, we repurchased 1,366,385 shares of our outstanding common stock at an average price of $18.28 per share, exclusive of fees, commissions, and excise taxes, or $25 million in the aggregate. During the year ended December 31, 2025, we repurchased 6,105,262 shares of our outstanding common stock at an average price of $14.72 per share, exclusive of fees, commissions, and excise taxes, or $90 million in the aggregate. As of December 31, 2025, we had $110 million remaining available to repurchase shares of our common stock under this share repurchase program.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August 16, 2022, the Inflation Reduction Act was signed into law, and imposed a nondeductible 1% excise tax on the net value of certain stock repurchases made after December 31, 2022. </w:t>
      </w:r>
      <w:r>
        <w:rPr>
          <w:rFonts w:ascii="Times New Roman" w:hAnsi="Times New Roman"/>
          <w:color w:val="252525"/>
          <w:sz w:val="20"/>
        </w:rPr>
        <w:t xml:space="preserve">However, for purposes of calculating the excise tax, repurchasing corporations are permitted to net the fair market value of certain new stock issuances against the fair market value of stock repurchases during the same taxable year. </w:t>
      </w:r>
      <w:r>
        <w:rPr>
          <w:rFonts w:ascii="Times New Roman" w:hAnsi="Times New Roman"/>
          <w:color w:val="000000"/>
          <w:sz w:val="20"/>
        </w:rPr>
        <w:t>For the years ended December 31, 2025, 2024, and 2023, excise taxes incurred on our share repurchases was not material.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and in a separate transaction, as noted in “Note 1: </w:t>
      </w:r>
      <w:r>
        <w:rPr>
          <w:rFonts w:ascii="Times New Roman" w:hAnsi="Times New Roman"/>
          <w:i/>
          <w:color w:val="000000"/>
          <w:sz w:val="20"/>
        </w:rPr>
        <w:t>Organization and Business Description</w:t>
      </w:r>
      <w:r>
        <w:rPr>
          <w:rFonts w:ascii="Times New Roman" w:hAnsi="Times New Roman"/>
          <w:color w:val="000000"/>
          <w:sz w:val="20"/>
        </w:rPr>
        <w:t>” on April 29, 2025, the Company repurchased approximately 26.8 million shares of Tripadvisor common stock and Class B common stock previously held by LTRIP in the Merger at an average price of approximately $16.28 per share, or $437 million in the aggregate, inclusive of transaction costs related to the repurchase of these shares.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Retirement of 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2025, the Company’s Board of Directors approved the retirement of all common stock and Class B common stock held as treasury stock by the Company, thereby canceling approximately 53.1 million shares of the Company's common stock, with a carrying value of approximately $1.3 billion. The retirement of these shares resulted in a reduction in both the carrying value of treasury stock and additional paid-in capital of approximately $1.3 billion on our consolidated balance sheet. There was no net effect to the Company’s total stockholders’ equity balance on its consolidated balance sheet due to the retirement of these shares.</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2025, 2024 and 2023, our Board of Directors did not declare any dividends on our outstanding common stock. Any determination to pay dividends in the future will be at the discretion of our Board of Directors and will depend on our results of operations, earnings, capital requirements,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bookmarkStart w:id="24" w:name="x1247"/>
      <w:bookmarkEnd w:id="24"/>
      <w:r>
        <w:rPr>
          <w:rFonts w:ascii="Times New Roman" w:hAnsi="Times New Roman"/>
          <w:color w:val="000000"/>
          <w:sz w:val="20"/>
        </w:rPr>
        <w:t>financial condition, future prospects, contractual restrictions and other factors deemed relevant by our Board of Directors.</w:t>
      </w:r>
      <w:bookmarkStart w:id="25" w:name="x1248"/>
      <w:bookmarkEnd w:id="25"/>
    </w:p>
    <w:p>
      <w:pPr>
        <w:pStyle w:val="TextBody"/>
        <w:bidi w:val="0"/>
        <w:spacing w:before="360" w:after="283"/>
        <w:jc w:val="left"/>
        <w:rPr>
          <w:rFonts w:ascii="Times New Roman" w:hAnsi="Times New Roman"/>
          <w:sz w:val="20"/>
        </w:rPr>
      </w:pPr>
      <w:r>
        <w:rPr>
          <w:rFonts w:ascii="Times New Roman" w:hAnsi="Times New Roman"/>
          <w:b/>
          <w:color w:val="000000"/>
          <w:sz w:val="20"/>
        </w:rPr>
        <w:t>NOTE 15: EARNINGS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reconciliation of the weighted average number of shares of common stock outstanding used in calculating Diluted EPS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3"/>
        <w:gridCol w:w="146"/>
        <w:gridCol w:w="282"/>
        <w:gridCol w:w="1045"/>
        <w:gridCol w:w="195"/>
        <w:gridCol w:w="195"/>
        <w:gridCol w:w="282"/>
        <w:gridCol w:w="1045"/>
        <w:gridCol w:w="195"/>
        <w:gridCol w:w="195"/>
        <w:gridCol w:w="282"/>
        <w:gridCol w:w="1045"/>
        <w:gridCol w:w="595"/>
      </w:tblGrid>
      <w:tr>
        <w:trPr/>
        <w:tc>
          <w:tcPr>
            <w:tcW w:w="4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 thousands and $ in millions, except per share amounts)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on 2026 Senior Notes,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used to compute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awards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 Senior Notes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used to compute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130,954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144,815</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common shares, consisting of outstanding stock options, RSUs (including PSUs, MSUs and DSUs), and those issuable under the 2026 Senior Notes, totaling approximately 9.4 million, 12.4 million, and 14.8 million, for the years ended December 31, 2025, 2024 and 2023, respectively, have been excluded from the calculations of Diluted EPS because their effect would have been antidilutive. In addition, potential common shares of certain performance-based awards of approximately 1.6 million, 1.4 million, and 1.1 million, for the years ended December 31, 2025, 2024 and 2023, respectively, for which all targets required to trigger vesting had not been achieved, were excluded from the calculation of weighted average shares used to compute Diluted EPS for those reporting periods.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earnings per share amounts are the same for common stock and Class B common stock because the holders of each class were legally entitled to equal per share distributions whether through dividends or in liquidation. As noted in “Note 1: </w:t>
      </w:r>
      <w:r>
        <w:rPr>
          <w:rFonts w:ascii="Times New Roman" w:hAnsi="Times New Roman"/>
          <w:i/>
          <w:color w:val="000000"/>
          <w:sz w:val="20"/>
        </w:rPr>
        <w:t>Organization and Business Description</w:t>
      </w:r>
      <w:r>
        <w:rPr>
          <w:rFonts w:ascii="Times New Roman" w:hAnsi="Times New Roman"/>
          <w:color w:val="000000"/>
          <w:sz w:val="20"/>
        </w:rPr>
        <w:t>”, on April 29, 2025, all issued and outstanding Class B shares were repurchased by the Company from LTRIP in the Merger and subsequently retired by the Company’s Board of Directors, thereby canceling these shares.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 xml:space="preserve">class method of determining earnings per share. </w:t>
      </w:r>
    </w:p>
    <w:p>
      <w:pPr>
        <w:pStyle w:val="TextBody"/>
        <w:bidi w:val="0"/>
        <w:spacing w:before="360" w:after="283"/>
        <w:jc w:val="left"/>
        <w:rPr>
          <w:rFonts w:ascii="Times New Roman" w:hAnsi="Times New Roman"/>
          <w:sz w:val="20"/>
        </w:rPr>
      </w:pPr>
      <w:r>
        <w:rPr>
          <w:rFonts w:ascii="Times New Roman" w:hAnsi="Times New Roman"/>
          <w:b/>
          <w:color w:val="000000"/>
          <w:sz w:val="20"/>
        </w:rPr>
        <w:t>NOTE 16: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of the following for the periods presented: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93" w:type="dxa"/>
        <w:jc w:val="left"/>
        <w:tblInd w:w="0" w:type="dxa"/>
        <w:tblLayout w:type="fixed"/>
        <w:tblCellMar>
          <w:top w:w="28" w:type="dxa"/>
          <w:left w:w="28" w:type="dxa"/>
          <w:bottom w:w="28" w:type="dxa"/>
          <w:right w:w="28" w:type="dxa"/>
        </w:tblCellMar>
      </w:tblPr>
      <w:tblGrid>
        <w:gridCol w:w="4006"/>
        <w:gridCol w:w="146"/>
        <w:gridCol w:w="211"/>
        <w:gridCol w:w="376"/>
        <w:gridCol w:w="166"/>
        <w:gridCol w:w="146"/>
        <w:gridCol w:w="211"/>
        <w:gridCol w:w="271"/>
        <w:gridCol w:w="166"/>
        <w:gridCol w:w="146"/>
        <w:gridCol w:w="211"/>
        <w:gridCol w:w="346"/>
        <w:gridCol w:w="3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currency exchange gains (losses),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from equity investment,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Gain (loss) on extinguishment of debt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Foreign currency exchange gains (losses), net, are related to transactional gains and losses due to required conversion from transaction currency to functional currency, offset by any foreign currency forward contract gains and losses.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sz w:val="20"/>
        </w:rPr>
      </w:pPr>
      <w:r>
        <w:rPr>
          <w:rFonts w:ascii="Times New Roman" w:hAnsi="Times New Roman"/>
          <w:color w:val="000000"/>
          <w:sz w:val="16"/>
        </w:rPr>
        <w:t xml:space="preserve">Refer to “Note 8: </w:t>
      </w:r>
      <w:r>
        <w:rPr>
          <w:rFonts w:ascii="Times New Roman" w:hAnsi="Times New Roman"/>
          <w:i/>
          <w:color w:val="000000"/>
          <w:sz w:val="16"/>
        </w:rPr>
        <w:t>Debt</w:t>
      </w:r>
      <w:r>
        <w:rPr>
          <w:rFonts w:ascii="Times New Roman" w:hAnsi="Times New Roman"/>
          <w:color w:val="000000"/>
          <w:sz w:val="20"/>
        </w:rPr>
        <w:t xml:space="preserve">” </w:t>
      </w:r>
      <w:r>
        <w:rPr>
          <w:rFonts w:ascii="Times New Roman" w:hAnsi="Times New Roman"/>
          <w:color w:val="000000"/>
          <w:sz w:val="16"/>
        </w:rPr>
        <w:t>for information regarding an extinguishment loss incurred due to the redemption of the 2025 Senior Notes in 2024.</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17: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Relationship between Liberty TripAdvisor Holdings, Inc. and Tripadvisor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LTRIP is a former controlling stockholder of Tripadvisor. Refer to “Note 1: </w:t>
      </w:r>
      <w:r>
        <w:rPr>
          <w:rFonts w:ascii="Times New Roman" w:hAnsi="Times New Roman"/>
          <w:i/>
          <w:color w:val="000000"/>
          <w:sz w:val="20"/>
        </w:rPr>
        <w:t>Organization and Business Description,</w:t>
      </w:r>
      <w:r>
        <w:rPr>
          <w:rFonts w:ascii="Times New Roman" w:hAnsi="Times New Roman"/>
          <w:color w:val="000000"/>
          <w:sz w:val="20"/>
        </w:rPr>
        <w:t>” which describes our former relationship with LTRIP and the Merger Agreement entered into by the Company with LTRIP on December 18, 2024. We considered LTRIP a related party through April 29, 2025, the Merger Date, for all periods presented. We had no related party transactions with LTRIP through the Merger Date, and for the years ended December 31, 2024 and 2023, other than those related to the Merger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Relationship between Chelsea Investment Holding Company PTE Ltd. and Tripadvisor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the discussion regarding our equity method investment in Chelsea Investment Holding Company PTD Ltd. in the section titled “Non-Marketable Investments” within “Note 3: </w:t>
      </w:r>
      <w:r>
        <w:rPr>
          <w:rFonts w:ascii="Times New Roman" w:hAnsi="Times New Roman"/>
          <w:i/>
          <w:color w:val="000000"/>
          <w:sz w:val="20"/>
        </w:rPr>
        <w:t>Financial Instruments and Fair Value Measurements</w:t>
      </w:r>
      <w:r>
        <w:rPr>
          <w:rFonts w:ascii="Times New Roman" w:hAnsi="Times New Roman"/>
          <w:color w:val="000000"/>
          <w:sz w:val="20"/>
        </w:rPr>
        <w:t>” for a description of our relationship and existing commercial arrangements with Chelsea Investment Holding Company PTE Ltd and/or its subsidiaries. We had no material related party transactions with Chelsea Investment Holding Company PTE Ltd or its subsidiaries during the years ended December 31, 2025, 2024 and 2023.</w:t>
      </w:r>
    </w:p>
    <w:p>
      <w:pPr>
        <w:pStyle w:val="TextBody"/>
        <w:bidi w:val="0"/>
        <w:spacing w:before="360" w:after="283"/>
        <w:jc w:val="left"/>
        <w:rPr>
          <w:rFonts w:ascii="Times New Roman" w:hAnsi="Times New Roman"/>
          <w:sz w:val="20"/>
        </w:rPr>
      </w:pPr>
      <w:r>
        <w:rPr>
          <w:rFonts w:ascii="Times New Roman" w:hAnsi="Times New Roman"/>
          <w:b/>
          <w:color w:val="000000"/>
          <w:sz w:val="20"/>
        </w:rPr>
        <w:t>NOTE 18: SEGMENT AND GEOGRAPHIC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fourth quarter of 2025, we revised our segment reporting structure, as a result of the Company’s re-positioning as an experiences-led and AI-enabled company. In order to support this initiative, we combined our Viator and Brand Tripadvisor experiences operations within our new Experiences segment. This re-segmentation had no impact on TheFork segment. We now measure our business within three operating segments, which also represent our reportable segments; (1) Experiences; (2) Hotels and Other; and (3) TheFork. The nature of the services provided and related revenue recognition policies are summarized by reportable segment in “Note 2: </w:t>
      </w:r>
      <w:r>
        <w:rPr>
          <w:rFonts w:ascii="Times New Roman" w:hAnsi="Times New Roman"/>
          <w:i/>
          <w:color w:val="000000"/>
          <w:sz w:val="20"/>
        </w:rPr>
        <w:t>Significant Accounting Policies</w:t>
      </w:r>
      <w:r>
        <w:rPr>
          <w:rFonts w:ascii="Times New Roman" w:hAnsi="Times New Roman"/>
          <w:color w:val="000000"/>
          <w:sz w:val="20"/>
        </w:rPr>
        <w:t xml:space="preserve">.” All prior period segment disclosure information, including the disclosures of disaggregated revenue by major products and revenue sources, has been recast to conform to the current reporting structure in this Form 10-K. This recast no effect on our consolidated financial statements in any period. Our segment profit measure (Adjusted EBITDA), including its definition, and other information provided to our CODM remain consistent with prior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operating segments are determined based on how our chief executive officer, who also serves as our chief operating decision maker (“CODM”) manages our business, regularly accesses information, and evaluates performance for operating 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for our individual operating segments, and on which internal budgets and forecasts are based and approved. We define adjusted EBITDA as net income (loss)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one-time changes resulting from enacted indirect tax legislation); (7) restructuring and other related reorganization costs; (8) transaction related expenses; and (9) non-recurring expenses and income unusual in nature or infrequently occurring.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 costs are included in the applicable operating segments, as well as certain shared personnel and marketing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Hotels and Other segment. Our allocation methodology is periodically evaluated and may change. For example, our Experiences segment now includes costs related to marketing and personnel associated with experiences generated on our Tripadvisor point of sale, which prior to the segments change, as described above, were included in our former Brand Tripadvisor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our reportable segment information for the years ended December 31, 2025, 2024 and 2023, including a reconciliation of Adjusted EBITDA to Net income (loss). We record depreciation and amortization, stock-based compensation, goodwill, long-lived asset and intangible asset impairments, legal reserves, settlements and other, transaction related expenses,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segment disclosure also includes intersegment revenues, which consists of affiliate marketing commissions for services provided by our Hotels and Other segment to TheFork segment. These intersegment transactions are recorded by each segment at amounts that we believe are approximate to fair value as if the transactions were between third parties and, therefore, impact segment performance. However, the revenue and corresponding expense are eliminated in our consolidated financial statements. The elimination of such intersegment transactions is included within the “Corporate &amp; Eliminations” column in the tables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4"/>
        <w:gridCol w:w="146"/>
        <w:gridCol w:w="360"/>
        <w:gridCol w:w="722"/>
        <w:gridCol w:w="166"/>
        <w:gridCol w:w="146"/>
        <w:gridCol w:w="362"/>
        <w:gridCol w:w="723"/>
        <w:gridCol w:w="166"/>
        <w:gridCol w:w="146"/>
        <w:gridCol w:w="278"/>
        <w:gridCol w:w="558"/>
        <w:gridCol w:w="166"/>
        <w:gridCol w:w="146"/>
        <w:gridCol w:w="312"/>
        <w:gridCol w:w="714"/>
        <w:gridCol w:w="166"/>
        <w:gridCol w:w="146"/>
        <w:gridCol w:w="211"/>
        <w:gridCol w:w="571"/>
        <w:gridCol w:w="216"/>
      </w:tblGrid>
      <w:tr>
        <w:trPr/>
        <w:tc>
          <w:tcPr>
            <w:tcW w:w="3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Hotels and Other </w:t>
            </w:r>
            <w:r>
              <w:rPr>
                <w:rFonts w:ascii="Times New Roman" w:hAnsi="Times New Roman"/>
                <w:b/>
                <w:color w:val="000000"/>
                <w:sz w:val="13"/>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TheFork </w:t>
            </w:r>
            <w:r>
              <w:rPr>
                <w:rFonts w:ascii="Times New Roman" w:hAnsi="Times New Roman"/>
                <w:b/>
                <w:color w:val="000000"/>
                <w:sz w:val="13"/>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5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7"/>
        <w:gridCol w:w="146"/>
        <w:gridCol w:w="360"/>
        <w:gridCol w:w="722"/>
        <w:gridCol w:w="166"/>
        <w:gridCol w:w="146"/>
        <w:gridCol w:w="368"/>
        <w:gridCol w:w="735"/>
        <w:gridCol w:w="166"/>
        <w:gridCol w:w="146"/>
        <w:gridCol w:w="278"/>
        <w:gridCol w:w="557"/>
        <w:gridCol w:w="166"/>
        <w:gridCol w:w="146"/>
        <w:gridCol w:w="312"/>
        <w:gridCol w:w="714"/>
        <w:gridCol w:w="166"/>
        <w:gridCol w:w="146"/>
        <w:gridCol w:w="211"/>
        <w:gridCol w:w="571"/>
        <w:gridCol w:w="216"/>
      </w:tblGrid>
      <w:tr>
        <w:trPr/>
        <w:tc>
          <w:tcPr>
            <w:tcW w:w="3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TheFork </w:t>
            </w:r>
            <w:r>
              <w:rPr>
                <w:rFonts w:ascii="Times New Roman" w:hAnsi="Times New Roman"/>
                <w:b/>
                <w:color w:val="000000"/>
                <w:sz w:val="13"/>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reserves, settlements and other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related expenses </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7"/>
        <w:gridCol w:w="146"/>
        <w:gridCol w:w="360"/>
        <w:gridCol w:w="722"/>
        <w:gridCol w:w="166"/>
        <w:gridCol w:w="146"/>
        <w:gridCol w:w="368"/>
        <w:gridCol w:w="735"/>
        <w:gridCol w:w="166"/>
        <w:gridCol w:w="146"/>
        <w:gridCol w:w="278"/>
        <w:gridCol w:w="557"/>
        <w:gridCol w:w="166"/>
        <w:gridCol w:w="146"/>
        <w:gridCol w:w="368"/>
        <w:gridCol w:w="658"/>
        <w:gridCol w:w="166"/>
        <w:gridCol w:w="146"/>
        <w:gridCol w:w="211"/>
        <w:gridCol w:w="571"/>
        <w:gridCol w:w="216"/>
      </w:tblGrid>
      <w:tr>
        <w:trPr/>
        <w:tc>
          <w:tcPr>
            <w:tcW w:w="3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Experiences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Hotels and Other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 xml:space="preserve">TheFork </w:t>
            </w:r>
            <w:r>
              <w:rPr>
                <w:rFonts w:ascii="Times New Roman" w:hAnsi="Times New Roman"/>
                <w:b/>
                <w:color w:val="000000"/>
                <w:sz w:val="13"/>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&amp;</w:t>
              <w:b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(exclusive of stock-based compensation as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other related reorganization costs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related expenses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sz w:val="20"/>
        </w:rPr>
      </w:pPr>
      <w:r>
        <w:rPr>
          <w:rFonts w:ascii="Times New Roman" w:hAnsi="Times New Roman"/>
          <w:color w:val="000000"/>
          <w:sz w:val="16"/>
        </w:rPr>
        <w:t>Includes certain shared personnel costs allocated from the Hotels and Other segment of $12</w:t>
      </w:r>
      <w:r>
        <w:rPr>
          <w:rFonts w:ascii="Times New Roman" w:hAnsi="Times New Roman"/>
          <w:color w:val="000000"/>
          <w:sz w:val="20"/>
        </w:rPr>
        <w:t xml:space="preserve"> </w:t>
      </w:r>
      <w:r>
        <w:rPr>
          <w:rFonts w:ascii="Times New Roman" w:hAnsi="Times New Roman"/>
          <w:color w:val="000000"/>
          <w:sz w:val="16"/>
        </w:rPr>
        <w:t>million, $10</w:t>
      </w:r>
      <w:r>
        <w:rPr>
          <w:rFonts w:ascii="Times New Roman" w:hAnsi="Times New Roman"/>
          <w:color w:val="000000"/>
          <w:sz w:val="20"/>
        </w:rPr>
        <w:t xml:space="preserve"> </w:t>
      </w:r>
      <w:r>
        <w:rPr>
          <w:rFonts w:ascii="Times New Roman" w:hAnsi="Times New Roman"/>
          <w:color w:val="000000"/>
          <w:sz w:val="16"/>
        </w:rPr>
        <w:t>million and $8</w:t>
      </w:r>
      <w:r>
        <w:rPr>
          <w:rFonts w:ascii="Times New Roman" w:hAnsi="Times New Roman"/>
          <w:color w:val="000000"/>
          <w:sz w:val="20"/>
        </w:rPr>
        <w:t xml:space="preserve"> </w:t>
      </w:r>
      <w:r>
        <w:rPr>
          <w:rFonts w:ascii="Times New Roman" w:hAnsi="Times New Roman"/>
          <w:color w:val="000000"/>
          <w:sz w:val="16"/>
        </w:rPr>
        <w:t>million for the years ended December 31, 2025, 2024 and 2023, respectively.</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sz w:val="20"/>
        </w:rPr>
      </w:pPr>
      <w:r>
        <w:rPr>
          <w:rFonts w:ascii="Times New Roman" w:hAnsi="Times New Roman"/>
          <w:color w:val="000000"/>
          <w:sz w:val="16"/>
        </w:rPr>
        <w:t>Certain shared personnel costs of $15</w:t>
      </w:r>
      <w:r>
        <w:rPr>
          <w:rFonts w:ascii="Times New Roman" w:hAnsi="Times New Roman"/>
          <w:color w:val="000000"/>
          <w:sz w:val="20"/>
        </w:rPr>
        <w:t xml:space="preserve"> </w:t>
      </w:r>
      <w:r>
        <w:rPr>
          <w:rFonts w:ascii="Times New Roman" w:hAnsi="Times New Roman"/>
          <w:color w:val="000000"/>
          <w:sz w:val="16"/>
        </w:rPr>
        <w:t>million, $14</w:t>
      </w:r>
      <w:r>
        <w:rPr>
          <w:rFonts w:ascii="Times New Roman" w:hAnsi="Times New Roman"/>
          <w:color w:val="000000"/>
          <w:sz w:val="20"/>
        </w:rPr>
        <w:t xml:space="preserve"> </w:t>
      </w:r>
      <w:r>
        <w:rPr>
          <w:rFonts w:ascii="Times New Roman" w:hAnsi="Times New Roman"/>
          <w:color w:val="000000"/>
          <w:sz w:val="16"/>
        </w:rPr>
        <w:t>million and $11</w:t>
      </w:r>
      <w:r>
        <w:rPr>
          <w:rFonts w:ascii="Times New Roman" w:hAnsi="Times New Roman"/>
          <w:color w:val="000000"/>
          <w:sz w:val="20"/>
        </w:rPr>
        <w:t xml:space="preserve"> </w:t>
      </w:r>
      <w:r>
        <w:rPr>
          <w:rFonts w:ascii="Times New Roman" w:hAnsi="Times New Roman"/>
          <w:color w:val="000000"/>
          <w:sz w:val="16"/>
        </w:rPr>
        <w:t>million for the years ended December 31, 2025, 2024 and 2023, respectively, were allocated to the Experiences and TheFork segments.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sz w:val="20"/>
        </w:rPr>
      </w:pPr>
      <w:r>
        <w:rPr>
          <w:rFonts w:ascii="Times New Roman" w:hAnsi="Times New Roman"/>
          <w:color w:val="000000"/>
          <w:sz w:val="16"/>
        </w:rPr>
        <w:t>Includes certain shared personnel costs allocated from the Hotels and Other segment of $3</w:t>
      </w:r>
      <w:r>
        <w:rPr>
          <w:rFonts w:ascii="Times New Roman" w:hAnsi="Times New Roman"/>
          <w:color w:val="000000"/>
          <w:sz w:val="20"/>
        </w:rPr>
        <w:t xml:space="preserve"> </w:t>
      </w:r>
      <w:r>
        <w:rPr>
          <w:rFonts w:ascii="Times New Roman" w:hAnsi="Times New Roman"/>
          <w:color w:val="000000"/>
          <w:sz w:val="16"/>
        </w:rPr>
        <w:t>million, $4</w:t>
      </w:r>
      <w:r>
        <w:rPr>
          <w:rFonts w:ascii="Times New Roman" w:hAnsi="Times New Roman"/>
          <w:color w:val="000000"/>
          <w:sz w:val="20"/>
        </w:rPr>
        <w:t xml:space="preserve"> </w:t>
      </w:r>
      <w:r>
        <w:rPr>
          <w:rFonts w:ascii="Times New Roman" w:hAnsi="Times New Roman"/>
          <w:color w:val="000000"/>
          <w:sz w:val="16"/>
        </w:rPr>
        <w:t>million and $3</w:t>
      </w:r>
      <w:r>
        <w:rPr>
          <w:rFonts w:ascii="Times New Roman" w:hAnsi="Times New Roman"/>
          <w:color w:val="000000"/>
          <w:sz w:val="20"/>
        </w:rPr>
        <w:t xml:space="preserve"> </w:t>
      </w:r>
      <w:r>
        <w:rPr>
          <w:rFonts w:ascii="Times New Roman" w:hAnsi="Times New Roman"/>
          <w:color w:val="000000"/>
          <w:sz w:val="16"/>
        </w:rPr>
        <w:t>million for the years ended December 31, 2025, 2024 and 2023, respectively.</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significant segment expense categories and amounts align with the segment-level information that is regularly provided to and reviewed by our CODM.</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sz w:val="20"/>
        </w:rPr>
      </w:pPr>
      <w:r>
        <w:rPr>
          <w:rFonts w:ascii="Times New Roman" w:hAnsi="Times New Roman"/>
          <w:color w:val="000000"/>
          <w:sz w:val="16"/>
        </w:rPr>
        <w:t>Exclusive of a $4</w:t>
      </w:r>
      <w:r>
        <w:rPr>
          <w:rFonts w:ascii="Times New Roman" w:hAnsi="Times New Roman"/>
          <w:color w:val="000000"/>
          <w:sz w:val="20"/>
        </w:rPr>
        <w:t xml:space="preserve"> </w:t>
      </w:r>
      <w:r>
        <w:rPr>
          <w:rFonts w:ascii="Times New Roman" w:hAnsi="Times New Roman"/>
          <w:color w:val="000000"/>
          <w:sz w:val="16"/>
        </w:rPr>
        <w:t>million cost benefit in the Hotels and Other segment which is included separately below in legal reserves, settlements and other.</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sz w:val="20"/>
        </w:rPr>
      </w:pPr>
      <w:r>
        <w:rPr>
          <w:rFonts w:ascii="Times New Roman" w:hAnsi="Times New Roman"/>
          <w:color w:val="000000"/>
          <w:sz w:val="16"/>
        </w:rPr>
        <w:t xml:space="preserve">Refer to “Note 7: </w:t>
      </w:r>
      <w:r>
        <w:rPr>
          <w:rFonts w:ascii="Times New Roman" w:hAnsi="Times New Roman"/>
          <w:i/>
          <w:color w:val="000000"/>
          <w:sz w:val="16"/>
        </w:rPr>
        <w:t>Accrued Expenses and Other Current Liabilities</w:t>
      </w:r>
      <w:r>
        <w:rPr>
          <w:rFonts w:ascii="Times New Roman" w:hAnsi="Times New Roman"/>
          <w:color w:val="000000"/>
          <w:sz w:val="20"/>
        </w:rPr>
        <w:t xml:space="preserve">” </w:t>
      </w:r>
      <w:r>
        <w:rPr>
          <w:rFonts w:ascii="Times New Roman" w:hAnsi="Times New Roman"/>
          <w:color w:val="000000"/>
          <w:sz w:val="16"/>
        </w:rPr>
        <w:t>for information regarding restructuring and other related reorganization costs.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sz w:val="20"/>
        </w:rPr>
      </w:pPr>
      <w:r>
        <w:rPr>
          <w:rFonts w:ascii="Times New Roman" w:hAnsi="Times New Roman"/>
          <w:color w:val="000000"/>
          <w:sz w:val="16"/>
        </w:rPr>
        <w:t>Represents a decrease of $4</w:t>
      </w:r>
      <w:r>
        <w:rPr>
          <w:rFonts w:ascii="Times New Roman" w:hAnsi="Times New Roman"/>
          <w:color w:val="000000"/>
          <w:sz w:val="20"/>
        </w:rPr>
        <w:t xml:space="preserve"> </w:t>
      </w:r>
      <w:r>
        <w:rPr>
          <w:rFonts w:ascii="Times New Roman" w:hAnsi="Times New Roman"/>
          <w:color w:val="000000"/>
          <w:sz w:val="16"/>
        </w:rPr>
        <w:t xml:space="preserve">million of a previously estimated accrual for the potential settlement of a regulatory related matter during 2025, reflected in general and administrative expenses on our consolidated statement of operations. Refer to </w:t>
      </w:r>
      <w:r>
        <w:rPr>
          <w:rFonts w:ascii="Times New Roman" w:hAnsi="Times New Roman"/>
          <w:color w:val="000000"/>
          <w:sz w:val="20"/>
        </w:rPr>
        <w:t>“</w:t>
      </w:r>
      <w:r>
        <w:rPr>
          <w:rFonts w:ascii="Times New Roman" w:hAnsi="Times New Roman"/>
          <w:color w:val="000000"/>
          <w:sz w:val="16"/>
        </w:rPr>
        <w:t xml:space="preserve">Note 11: </w:t>
      </w:r>
      <w:r>
        <w:rPr>
          <w:rFonts w:ascii="Times New Roman" w:hAnsi="Times New Roman"/>
          <w:i/>
          <w:color w:val="000000"/>
          <w:sz w:val="16"/>
        </w:rPr>
        <w:t>Commitments and Contingencies</w:t>
      </w:r>
      <w:r>
        <w:rPr>
          <w:rFonts w:ascii="Times New Roman" w:hAnsi="Times New Roman"/>
          <w:color w:val="000000"/>
          <w:sz w:val="20"/>
        </w:rPr>
        <w:t xml:space="preserve">” </w:t>
      </w:r>
      <w:r>
        <w:rPr>
          <w:rFonts w:ascii="Times New Roman" w:hAnsi="Times New Roman"/>
          <w:color w:val="000000"/>
          <w:sz w:val="16"/>
        </w:rPr>
        <w:t>for further information.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sz w:val="20"/>
        </w:rPr>
      </w:pPr>
      <w:r>
        <w:rPr>
          <w:rFonts w:ascii="Times New Roman" w:hAnsi="Times New Roman"/>
          <w:color w:val="000000"/>
          <w:sz w:val="16"/>
        </w:rPr>
        <w:t>Exclusive of $2</w:t>
      </w:r>
      <w:r>
        <w:rPr>
          <w:rFonts w:ascii="Times New Roman" w:hAnsi="Times New Roman"/>
          <w:color w:val="000000"/>
          <w:sz w:val="20"/>
        </w:rPr>
        <w:t xml:space="preserve"> </w:t>
      </w:r>
      <w:r>
        <w:rPr>
          <w:rFonts w:ascii="Times New Roman" w:hAnsi="Times New Roman"/>
          <w:color w:val="000000"/>
          <w:sz w:val="16"/>
        </w:rPr>
        <w:t>million and $1</w:t>
      </w:r>
      <w:r>
        <w:rPr>
          <w:rFonts w:ascii="Times New Roman" w:hAnsi="Times New Roman"/>
          <w:color w:val="000000"/>
          <w:sz w:val="20"/>
        </w:rPr>
        <w:t xml:space="preserve"> </w:t>
      </w:r>
      <w:r>
        <w:rPr>
          <w:rFonts w:ascii="Times New Roman" w:hAnsi="Times New Roman"/>
          <w:color w:val="000000"/>
          <w:sz w:val="16"/>
        </w:rPr>
        <w:t>million in the Hotels and Other and Experiences segments, respectively, which are included separately below in legal reserves, settlements and other.</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sz w:val="20"/>
        </w:rPr>
      </w:pPr>
      <w:r>
        <w:rPr>
          <w:rFonts w:ascii="Times New Roman" w:hAnsi="Times New Roman"/>
          <w:color w:val="000000"/>
          <w:sz w:val="16"/>
        </w:rPr>
        <w:t>Exclusive of $18</w:t>
      </w:r>
      <w:r>
        <w:rPr>
          <w:rFonts w:ascii="Times New Roman" w:hAnsi="Times New Roman"/>
          <w:color w:val="000000"/>
          <w:sz w:val="20"/>
        </w:rPr>
        <w:t xml:space="preserve"> </w:t>
      </w:r>
      <w:r>
        <w:rPr>
          <w:rFonts w:ascii="Times New Roman" w:hAnsi="Times New Roman"/>
          <w:color w:val="000000"/>
          <w:sz w:val="16"/>
        </w:rPr>
        <w:t>million in the Hotels and Other segment which is included separately below in legal reserves, settlements and other and transaction related expenses.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spacing w:before="0" w:after="0"/>
        <w:jc w:val="left"/>
        <w:rPr>
          <w:rFonts w:ascii="Times New Roman" w:hAnsi="Times New Roman"/>
          <w:sz w:val="20"/>
        </w:rPr>
      </w:pPr>
      <w:r>
        <w:rPr>
          <w:rFonts w:ascii="Times New Roman" w:hAnsi="Times New Roman"/>
          <w:color w:val="000000"/>
          <w:sz w:val="16"/>
        </w:rPr>
        <w:t>This amount primarily includes an estimated accrual for the potential settlement of a regulatory related matter of $10</w:t>
      </w:r>
      <w:r>
        <w:rPr>
          <w:rFonts w:ascii="Times New Roman" w:hAnsi="Times New Roman"/>
          <w:color w:val="000000"/>
          <w:sz w:val="20"/>
        </w:rPr>
        <w:t xml:space="preserve"> </w:t>
      </w:r>
      <w:r>
        <w:rPr>
          <w:rFonts w:ascii="Times New Roman" w:hAnsi="Times New Roman"/>
          <w:color w:val="000000"/>
          <w:sz w:val="16"/>
        </w:rPr>
        <w:t xml:space="preserve">million expensed during 2024 and is reflected in general and administrative expenses on our consolidated statement of operations. Refer to </w:t>
      </w:r>
      <w:r>
        <w:rPr>
          <w:rFonts w:ascii="Times New Roman" w:hAnsi="Times New Roman"/>
          <w:color w:val="000000"/>
          <w:sz w:val="20"/>
        </w:rPr>
        <w:t>“</w:t>
      </w:r>
      <w:r>
        <w:rPr>
          <w:rFonts w:ascii="Times New Roman" w:hAnsi="Times New Roman"/>
          <w:color w:val="000000"/>
          <w:sz w:val="16"/>
        </w:rPr>
        <w:t xml:space="preserve">Note 11: </w:t>
      </w:r>
      <w:r>
        <w:rPr>
          <w:rFonts w:ascii="Times New Roman" w:hAnsi="Times New Roman"/>
          <w:i/>
          <w:color w:val="000000"/>
          <w:sz w:val="16"/>
        </w:rPr>
        <w:t>Commitments and Contingencies</w:t>
      </w:r>
      <w:r>
        <w:rPr>
          <w:rFonts w:ascii="Times New Roman" w:hAnsi="Times New Roman"/>
          <w:color w:val="000000"/>
          <w:sz w:val="20"/>
        </w:rPr>
        <w:t xml:space="preserve">” </w:t>
      </w:r>
      <w:r>
        <w:rPr>
          <w:rFonts w:ascii="Times New Roman" w:hAnsi="Times New Roman"/>
          <w:color w:val="000000"/>
          <w:sz w:val="16"/>
        </w:rPr>
        <w:t>for further information. In addition, this amount includes a one-time charge of $3</w:t>
      </w:r>
      <w:r>
        <w:rPr>
          <w:rFonts w:ascii="Times New Roman" w:hAnsi="Times New Roman"/>
          <w:color w:val="000000"/>
          <w:sz w:val="20"/>
        </w:rPr>
        <w:t xml:space="preserve"> </w:t>
      </w:r>
      <w:r>
        <w:rPr>
          <w:rFonts w:ascii="Times New Roman" w:hAnsi="Times New Roman"/>
          <w:color w:val="000000"/>
          <w:sz w:val="16"/>
        </w:rPr>
        <w:t>million during the year ended December 31, 2024, resulting from enacted tax legislation in Canada during June 2024 related to digital service taxes, which required retrospective application back to January 1, 2022. This amount represents the one-time retrospective liability for the periods prior to April 1, 2024, while amounts for all prospective periods are included within adjusted EBITDA and are reflected in cost of sales on our consolidated statements of operations.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spacing w:before="0" w:after="0"/>
        <w:jc w:val="left"/>
        <w:rPr>
          <w:rFonts w:ascii="Times New Roman" w:hAnsi="Times New Roman"/>
          <w:sz w:val="20"/>
        </w:rPr>
      </w:pPr>
      <w:r>
        <w:rPr>
          <w:rFonts w:ascii="Times New Roman" w:hAnsi="Times New Roman"/>
          <w:color w:val="000000"/>
          <w:sz w:val="16"/>
        </w:rPr>
        <w:t>The Company expensed certain transaction related costs of $3</w:t>
      </w:r>
      <w:r>
        <w:rPr>
          <w:rFonts w:ascii="Times New Roman" w:hAnsi="Times New Roman"/>
          <w:color w:val="000000"/>
          <w:sz w:val="20"/>
        </w:rPr>
        <w:t xml:space="preserve"> </w:t>
      </w:r>
      <w:r>
        <w:rPr>
          <w:rFonts w:ascii="Times New Roman" w:hAnsi="Times New Roman"/>
          <w:color w:val="000000"/>
          <w:sz w:val="16"/>
        </w:rPr>
        <w:t>million during both the years ended December 31, 2024 and 2023, to general and administrative expenses on our consolidated statements of operations.</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(12)</w:t>
      </w:r>
    </w:p>
    <w:p>
      <w:pPr>
        <w:pStyle w:val="TextBody"/>
        <w:bidi w:val="0"/>
        <w:jc w:val="left"/>
        <w:rPr>
          <w:rFonts w:ascii="Times New Roman" w:hAnsi="Times New Roman"/>
          <w:sz w:val="20"/>
        </w:rPr>
      </w:pPr>
      <w:r>
        <w:rPr>
          <w:rFonts w:ascii="Times New Roman" w:hAnsi="Times New Roman"/>
          <w:color w:val="000000"/>
          <w:sz w:val="16"/>
        </w:rPr>
        <w:t>Exclusive of $3</w:t>
      </w:r>
      <w:r>
        <w:rPr>
          <w:rFonts w:ascii="Times New Roman" w:hAnsi="Times New Roman"/>
          <w:color w:val="000000"/>
          <w:sz w:val="20"/>
        </w:rPr>
        <w:t xml:space="preserve"> </w:t>
      </w:r>
      <w:r>
        <w:rPr>
          <w:rFonts w:ascii="Times New Roman" w:hAnsi="Times New Roman"/>
          <w:color w:val="000000"/>
          <w:sz w:val="16"/>
        </w:rPr>
        <w:t>million in the Experiences segment which is included separately below in transaction related expenses.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sz w:val="20"/>
        </w:rPr>
      </w:pPr>
      <w:r>
        <w:rPr>
          <w:rFonts w:ascii="Times New Roman" w:hAnsi="Times New Roman"/>
          <w:b/>
          <w:i/>
          <w:color w:val="000000"/>
          <w:sz w:val="20"/>
        </w:rPr>
        <w:t>Product and Geographic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disaggregate revenue into major products and revenue sources, as follows, for the periods presented:</w:t>
      </w:r>
    </w:p>
    <w:tbl>
      <w:tblPr>
        <w:tblW w:w="6448" w:type="dxa"/>
        <w:jc w:val="left"/>
        <w:tblInd w:w="0" w:type="dxa"/>
        <w:tblLayout w:type="fixed"/>
        <w:tblCellMar>
          <w:top w:w="28" w:type="dxa"/>
          <w:left w:w="28" w:type="dxa"/>
          <w:bottom w:w="28" w:type="dxa"/>
          <w:right w:w="28" w:type="dxa"/>
        </w:tblCellMar>
      </w:tblPr>
      <w:tblGrid>
        <w:gridCol w:w="3121"/>
        <w:gridCol w:w="146"/>
        <w:gridCol w:w="211"/>
        <w:gridCol w:w="571"/>
        <w:gridCol w:w="166"/>
        <w:gridCol w:w="146"/>
        <w:gridCol w:w="211"/>
        <w:gridCol w:w="571"/>
        <w:gridCol w:w="166"/>
        <w:gridCol w:w="146"/>
        <w:gridCol w:w="211"/>
        <w:gridCol w:w="57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Major products/revenue sources </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Hotels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TheFork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Intersegment eliminations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Our revenue is recognized primarily at a point in time for all reported segments.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sans-serif" w:hAnsi="sans-serif"/>
          <w:sz w:val="22"/>
        </w:rPr>
      </w:pPr>
      <w:r>
        <w:rPr>
          <w:rFonts w:ascii="Times New Roman" w:hAnsi="Times New Roman"/>
          <w:color w:val="000000"/>
          <w:sz w:val="16"/>
        </w:rPr>
        <w:t>Tripadvisor dining revenue within the Hotels and Other segment is shown gross of intersegment (intercompany) revenue, which is eliminated on a consolidated basis.</w:t>
      </w:r>
      <w:r>
        <w:rPr>
          <w:rFonts w:ascii="sans-serif" w:hAnsi="sans-serif"/>
          <w:color w:val="000000"/>
          <w:sz w:val="22"/>
        </w:rPr>
        <w:t xml:space="preserve">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measures its geographic revenue based on the physical location of each of the Company's subsidiaries, which generate the revenue, and is consistent with our measurement of long-lived physical assets, or property and equipment, net. As such, this geographic classification does not necessarily align with where the consumer resides, where the consumer is physically located while using the Company's services, or the location of the travel service provider, experience operator or restaurant.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revenue based on geographic location consists of the following for the periods presented:</w:t>
      </w:r>
    </w:p>
    <w:tbl>
      <w:tblPr>
        <w:tblW w:w="5503" w:type="dxa"/>
        <w:jc w:val="left"/>
        <w:tblInd w:w="0" w:type="dxa"/>
        <w:tblLayout w:type="fixed"/>
        <w:tblCellMar>
          <w:top w:w="28" w:type="dxa"/>
          <w:left w:w="28" w:type="dxa"/>
          <w:bottom w:w="28" w:type="dxa"/>
          <w:right w:w="28" w:type="dxa"/>
        </w:tblCellMar>
      </w:tblPr>
      <w:tblGrid>
        <w:gridCol w:w="1836"/>
        <w:gridCol w:w="146"/>
        <w:gridCol w:w="211"/>
        <w:gridCol w:w="571"/>
        <w:gridCol w:w="146"/>
        <w:gridCol w:w="146"/>
        <w:gridCol w:w="211"/>
        <w:gridCol w:w="571"/>
        <w:gridCol w:w="146"/>
        <w:gridCol w:w="146"/>
        <w:gridCol w:w="211"/>
        <w:gridCol w:w="571"/>
        <w:gridCol w:w="591"/>
      </w:tblGrid>
      <w:tr>
        <w:trPr/>
        <w:tc>
          <w:tcPr>
            <w:tcW w:w="1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property and equipment, net for the United States and all other countries based on the geographic location of the assets consists of the following as of the dates presented: </w:t>
      </w:r>
    </w:p>
    <w:p>
      <w:pPr>
        <w:pStyle w:val="TextBody"/>
        <w:bidi w:val="0"/>
        <w:jc w:val="left"/>
        <w:rPr/>
      </w:pPr>
      <w:r>
        <w:rPr/>
        <w:t> </w:t>
      </w:r>
    </w:p>
    <w:tbl>
      <w:tblPr>
        <w:tblW w:w="4814" w:type="dxa"/>
        <w:jc w:val="left"/>
        <w:tblInd w:w="0" w:type="dxa"/>
        <w:tblLayout w:type="fixed"/>
        <w:tblCellMar>
          <w:top w:w="28" w:type="dxa"/>
          <w:left w:w="28" w:type="dxa"/>
          <w:bottom w:w="28" w:type="dxa"/>
          <w:right w:w="28" w:type="dxa"/>
        </w:tblCellMar>
      </w:tblPr>
      <w:tblGrid>
        <w:gridCol w:w="2521"/>
        <w:gridCol w:w="146"/>
        <w:gridCol w:w="211"/>
        <w:gridCol w:w="421"/>
        <w:gridCol w:w="146"/>
        <w:gridCol w:w="146"/>
        <w:gridCol w:w="211"/>
        <w:gridCol w:w="421"/>
        <w:gridCol w:w="5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Concentrations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Significant Accounting Policies</w:t>
      </w:r>
      <w:r>
        <w:rPr>
          <w:rFonts w:ascii="Times New Roman" w:hAnsi="Times New Roman"/>
          <w:color w:val="000000"/>
          <w:sz w:val="20"/>
        </w:rPr>
        <w:t>” under the section entitled “Certain Risks and Concentrations” for information regarding our major customer concentrations.</w:t>
      </w:r>
    </w:p>
    <w:p>
      <w:pPr>
        <w:pStyle w:val="TextBody"/>
        <w:bidi w:val="0"/>
        <w:spacing w:before="360" w:after="283"/>
        <w:jc w:val="left"/>
        <w:rPr>
          <w:rFonts w:ascii="Times New Roman" w:hAnsi="Times New Roman"/>
          <w:sz w:val="20"/>
        </w:rPr>
      </w:pPr>
      <w:bookmarkStart w:id="26" w:name="item_9_changes"/>
      <w:bookmarkEnd w:id="26"/>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27" w:name="item_9a"/>
      <w:bookmarkEnd w:id="27"/>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December 31, 2025,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to our internal control over financial reporting that occurred during the quarter ended December 31, 2025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GAAP.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Times New Roman" w:hAnsi="Times New Roman"/>
          <w:i/>
          <w:color w:val="000000"/>
          <w:sz w:val="20"/>
        </w:rPr>
        <w:t>Internal Control—Integrated Framework (2013)</w:t>
      </w:r>
      <w:r>
        <w:rPr>
          <w:rFonts w:ascii="Times New Roman" w:hAnsi="Times New Roman"/>
          <w:color w:val="000000"/>
          <w:sz w:val="20"/>
        </w:rPr>
        <w:t xml:space="preserve"> issued by the Committee of Sponsoring Organizations of the Treadway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evaluated the effectiveness of the Company’s internal control over financial reporting as of December 31, 2025. Pursuant to Exchange Act Rule 13a-15(d) or 15d-15(d), management has concluded that, as of December 31, 2025, our internal control over financial reporting was effective. Management has reviewed its assessment with the Audit Committee. KPMG LLP, an independent registered public accounting firm, has audited the Company's consolidated financial statements included elsewhere in this Annual Report on Form 10-K and has also audited the effectiveness of our internal control over financial reporting as of December 31, 2025, as stated in this Annual Report on Form 10-K under the heading, “Report of Independent Registered Public Accounting Firm.”</w:t>
      </w:r>
    </w:p>
    <w:p>
      <w:pPr>
        <w:pStyle w:val="TextBody"/>
        <w:bidi w:val="0"/>
        <w:spacing w:before="360" w:after="283"/>
        <w:jc w:val="left"/>
        <w:rPr>
          <w:rFonts w:ascii="Times New Roman" w:hAnsi="Times New Roman"/>
          <w:sz w:val="20"/>
        </w:rPr>
      </w:pPr>
      <w:r>
        <w:rPr>
          <w:rFonts w:ascii="Times New Roman" w:hAnsi="Times New Roman"/>
          <w:b/>
          <w:color w:val="000000"/>
          <w:sz w:val="20"/>
        </w:rPr>
        <w:t>Limitations on Effectiveness of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28" w:name="item_9b"/>
      <w:bookmarkEnd w:id="28"/>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2, 2025, Almir Ambeskovic, CEO of TheFork, adopted a trading plan for the sale of the Company’s common stock (a “Trading Plan”) intended to satisfy the affirmative defense conditions of Securities Exchange Act Rule 10b5-1(c). The Trading Plan has a term of one year and provides for the sale 32,000 shares of common stock pursuant to the terms of the plan. </w:t>
      </w:r>
    </w:p>
    <w:p>
      <w:pPr>
        <w:pStyle w:val="TextBody"/>
        <w:bidi w:val="0"/>
        <w:spacing w:before="240" w:after="283"/>
        <w:jc w:val="left"/>
        <w:rPr>
          <w:rFonts w:ascii="Times New Roman" w:hAnsi="Times New Roman"/>
          <w:b/>
          <w:color w:val="000000"/>
          <w:sz w:val="20"/>
        </w:rPr>
      </w:pPr>
      <w:bookmarkStart w:id="29" w:name="item_9c"/>
      <w:bookmarkEnd w:id="29"/>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60" w:after="283"/>
        <w:jc w:val="center"/>
        <w:rPr>
          <w:rFonts w:ascii="Times New Roman" w:hAnsi="Times New Roman"/>
          <w:sz w:val="20"/>
        </w:rPr>
      </w:pPr>
      <w:bookmarkStart w:id="30" w:name="part_iii"/>
      <w:bookmarkEnd w:id="30"/>
      <w:r>
        <w:rPr>
          <w:rFonts w:ascii="Times New Roman" w:hAnsi="Times New Roman"/>
          <w:b/>
          <w:color w:val="000000"/>
          <w:sz w:val="20"/>
        </w:rPr>
        <w:t>PART III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31" w:name="item_10"/>
      <w:bookmarkEnd w:id="31"/>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2026 Proxy Statement, which proxy statement will be filed with the SEC not later than 120 days after the close of our fiscal year ended December 31, 2025. A copy of our Insider Trading Policy is filed as Exhibit 19.1 to this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2" w:name="item_11"/>
      <w:bookmarkEnd w:id="32"/>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under this item is incorporated herein by reference to our 2026 Proxy Statement, which proxy statement will be filed with the SEC not later than 120 days after the close of our fiscal year ended December 31,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3" w:name="item_12"/>
      <w:bookmarkEnd w:id="33"/>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under this item is incorporated herein by reference to our 2026 Proxy Statement, which proxy statement will be filed with the SEC not later than 120 days after the close of our fiscal year ended December 31, 2025.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4" w:name="item_13"/>
      <w:bookmarkEnd w:id="34"/>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2026 Proxy Statement, which proxy statement will be filed with the SEC not later than 120 days after the close of our fiscal year ended December 31,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5" w:name="item_14"/>
      <w:bookmarkEnd w:id="35"/>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under this item is incorporated herein by reference to our 2026 Proxy Statement, which proxy statement will be filed with the SEC not later than 120 days after the close of our fiscal year ended December 31, 2025.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partiv"/>
      <w:bookmarkEnd w:id="36"/>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7" w:name="item_15"/>
      <w:bookmarkEnd w:id="37"/>
      <w:r>
        <w:rPr>
          <w:rFonts w:ascii="Times New Roman" w:hAnsi="Times New Roman"/>
          <w:b/>
          <w:color w:val="000000"/>
          <w:sz w:val="20"/>
        </w:rPr>
        <w:t>Item 15. Exhibit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The following is filed as part of this Annual Report on Form 10-K: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Consolidated Financial Statements</w:t>
      </w:r>
      <w:r>
        <w:rPr>
          <w:rFonts w:ascii="Times New Roman" w:hAnsi="Times New Roman"/>
          <w:color w:val="000000"/>
          <w:sz w:val="20"/>
        </w:rPr>
        <w:t xml:space="preserve">: The consolidated financial statements and report of independent registered public accounting firms required by this item are included in Part II, Item 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schedules are omitted because they are not applicable or not required, or because the required information is shown either in the consolidated financial statements or in the notes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Exhibits: </w:t>
      </w:r>
    </w:p>
    <w:tbl>
      <w:tblPr>
        <w:tblW w:w="10205" w:type="dxa"/>
        <w:jc w:val="left"/>
        <w:tblInd w:w="0" w:type="dxa"/>
        <w:tblLayout w:type="fixed"/>
        <w:tblCellMar>
          <w:top w:w="28" w:type="dxa"/>
          <w:left w:w="28" w:type="dxa"/>
          <w:bottom w:w="28" w:type="dxa"/>
          <w:right w:w="28" w:type="dxa"/>
        </w:tblCellMar>
      </w:tblPr>
      <w:tblGrid>
        <w:gridCol w:w="244"/>
        <w:gridCol w:w="221"/>
        <w:gridCol w:w="166"/>
        <w:gridCol w:w="146"/>
        <w:gridCol w:w="4244"/>
        <w:gridCol w:w="146"/>
        <w:gridCol w:w="314"/>
        <w:gridCol w:w="422"/>
        <w:gridCol w:w="146"/>
        <w:gridCol w:w="160"/>
        <w:gridCol w:w="212"/>
        <w:gridCol w:w="190"/>
        <w:gridCol w:w="159"/>
        <w:gridCol w:w="159"/>
        <w:gridCol w:w="300"/>
        <w:gridCol w:w="438"/>
        <w:gridCol w:w="267"/>
        <w:gridCol w:w="119"/>
        <w:gridCol w:w="119"/>
        <w:gridCol w:w="119"/>
        <w:gridCol w:w="119"/>
        <w:gridCol w:w="159"/>
        <w:gridCol w:w="132"/>
        <w:gridCol w:w="169"/>
        <w:gridCol w:w="171"/>
        <w:gridCol w:w="146"/>
        <w:gridCol w:w="146"/>
        <w:gridCol w:w="204"/>
        <w:gridCol w:w="234"/>
        <w:gridCol w:w="237"/>
        <w:gridCol w:w="197"/>
      </w:tblGrid>
      <w:tr>
        <w:trPr/>
        <w:tc>
          <w:tcPr>
            <w:tcW w:w="2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2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90" w:type="dxa"/>
            <w:gridSpan w:val="11"/>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Incorporated by Reference</w:t>
            </w:r>
          </w:p>
        </w:tc>
        <w:tc>
          <w:tcPr>
            <w:tcW w:w="16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0"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434"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1" w:type="dxa"/>
            <w:gridSpan w:val="3"/>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424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Filed</w:t>
              <w:br/>
              <w:t>Herewith</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62"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Form</w:t>
            </w:r>
          </w:p>
        </w:tc>
        <w:tc>
          <w:tcPr>
            <w:tcW w:w="15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SEC File No.</w:t>
            </w:r>
          </w:p>
        </w:tc>
        <w:tc>
          <w:tcPr>
            <w:tcW w:w="38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Filing</w:t>
              <w:br/>
              <w:t>Date</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rPr>
                <w:t>Agreement and Plan of Merger, dated as of December 18, 2024, by and among LTRIP, TRIP and Merger Sub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12/19/24</w:t>
            </w:r>
          </w:p>
        </w:tc>
        <w:tc>
          <w:tcPr>
            <w:tcW w:w="1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Plan of Conversion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c>
          <w:tcPr>
            <w:tcW w:w="19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rPr>
                <w:t>Articles of Incorporation of Tripadvisor,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4/29/25</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rPr>
                <w:t>Amended and Restated Bylaws of Tripadvisor,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5/7/25</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w:anchor="trip-ex4_1.htm">
              <w:r>
                <w:rPr>
                  <w:rStyle w:val="InternetLink"/>
                  <w:rFonts w:ascii="Times New Roman" w:hAnsi="Times New Roman"/>
                  <w:color w:val="000000"/>
                  <w:sz w:val="20"/>
                </w:rPr>
                <w:t>Description of the Registrant’s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rPr>
                <w:t>Indenture, dated July 9, 2020, among Tripadvisor, Inc., the guarantors party thereto and U.S. Bank National Association, as trustee (as successor trustee to Wilmington Trust, National Association)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7/9/20</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rPr>
                <w:t>Form of Senior Note (included in Exhibit 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7/9/20</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80"/>
                  <w:sz w:val="20"/>
                </w:rPr>
                <w:t>Indenture, dated as of March 25, 2021, by and among Tripadvisor, Inc., the guarantors party thereto and U.S. Bank National Association, as trustee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3/25/21</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00"/>
                  <w:sz w:val="20"/>
                </w:rPr>
                <w:t>Form of 0.25% Convertible Senior Notes due 2026 (included as Exhibit A to Exhibit 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3/25/21</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00"/>
                  <w:sz w:val="20"/>
                </w:rPr>
                <w:t>Tax Sharing Agreement by and between Tripadvisor, Inc. and Expedia, Inc., dated as of December 20, 2011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12/27/11</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rPr>
                <w:t>Amended and Restated Non-Employee Director Deferred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8/7/25</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rPr>
                <w:t>Corporate Headquarters Lease with Normandy Gap-V Needham Building 3, LLC, as landlord, dated as of June 20, 2013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7/24/13</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00"/>
                  <w:sz w:val="20"/>
                </w:rPr>
                <w:t xml:space="preserve">Guaranty dated June 20, 2013 by Tripadvisor, Inc. for the benefit of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47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7/24/13</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9"/>
        <w:gridCol w:w="146"/>
        <w:gridCol w:w="5285"/>
        <w:gridCol w:w="146"/>
        <w:gridCol w:w="146"/>
        <w:gridCol w:w="146"/>
        <w:gridCol w:w="146"/>
        <w:gridCol w:w="393"/>
        <w:gridCol w:w="146"/>
        <w:gridCol w:w="146"/>
        <w:gridCol w:w="146"/>
        <w:gridCol w:w="680"/>
        <w:gridCol w:w="146"/>
        <w:gridCol w:w="146"/>
        <w:gridCol w:w="146"/>
        <w:gridCol w:w="571"/>
        <w:gridCol w:w="146"/>
        <w:gridCol w:w="146"/>
        <w:gridCol w:w="146"/>
        <w:gridCol w:w="439"/>
        <w:gridCol w:w="194"/>
      </w:tblGrid>
      <w:tr>
        <w:trPr/>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rPr>
                <w:t>Normandy Gap-V Needham Building 3, LLC, as landlord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00"/>
                  <w:sz w:val="20"/>
                </w:rPr>
                <w:t>Amendment and Restatement Agreement, dated as of June 29, 2023, to the Credit Agreement dated as of June 26, 2015 (as amended as of May 12, 2017, May 5, 2020 and December 17, 2020, among Tripadvisor, Inc., Tripadvisor Holdings, LLC, Tripadvisor, LLC, the other Borrowers party thereto, the Lenders party thereto and JPMorgan Chase 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7/6/23</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00"/>
                  <w:sz w:val="20"/>
                </w:rPr>
                <w:t>First Amendment, dated July 8, 2024, to the Amended and Restated Agreement, dated as of June 29, 2023, by and among Tripadvisor, Inc., Tripadvisor Holdings, LLC, Tripadvisor, LLC, the other Borrowers party thereto, the Lenders party thereto and JPMorgan Chase 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7/8/24</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00"/>
                  <w:sz w:val="20"/>
                </w:rPr>
                <w:t>Amended and Restated Executive Severance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8/7/25</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00"/>
                  <w:sz w:val="20"/>
                </w:rPr>
                <w:t xml:space="preserve">Form of Option Agreement (Domestic)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5/6/21</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00"/>
                  <w:sz w:val="20"/>
                </w:rPr>
                <w:t xml:space="preserve">Form of Option Agreement (International)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5/6/21</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00"/>
                  <w:sz w:val="20"/>
                </w:rPr>
                <w:t xml:space="preserve">Form of Restricted Stock Unit Agreement (Domestic)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8/7/25</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00"/>
                  <w:sz w:val="20"/>
                </w:rPr>
                <w:t>Form of Restricted Stock Unit Agreement (International)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00"/>
                  <w:sz w:val="20"/>
                </w:rPr>
                <w:t>Form of Restricted Stock Unit Agreement (French)</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00"/>
                  <w:sz w:val="20"/>
                </w:rPr>
                <w:t xml:space="preserve">Form of Restricted Stock Unit Agreement (Performance Based) (Domestic)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00"/>
                  <w:sz w:val="20"/>
                </w:rPr>
                <w:t>Form of Restricted Stock Unit Agreement (Performance Based) (International)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00"/>
                  <w:sz w:val="20"/>
                </w:rPr>
                <w:t>Form of Deferred Stock Unit Agreement (Non-Employee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10.18+</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00"/>
                  <w:sz w:val="20"/>
                </w:rPr>
                <w:t>Form of Restricted Stock Unit Agreement (Non-Employee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10.8</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00"/>
                  <w:sz w:val="20"/>
                </w:rPr>
                <w:t>Employment Agreement, dated as of March 29, 2021 between Tripadvisor, LLC and Seth Kalvert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5/6/21</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00"/>
                  <w:sz w:val="20"/>
                </w:rPr>
                <w:t>Form of Capped Call Confirmation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3/25/21</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00"/>
                  <w:sz w:val="20"/>
                </w:rPr>
                <w:t>Employment Letter Agreement dated May 2, 2022 between Tripadvisor LLC and Matt Goldberg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5/4/22</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85"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00"/>
                  <w:sz w:val="20"/>
                </w:rPr>
                <w:t xml:space="preserve">Employment Letter Agreement dated October 10, 2022 between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10/11/22</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
        <w:gridCol w:w="146"/>
        <w:gridCol w:w="5209"/>
        <w:gridCol w:w="146"/>
        <w:gridCol w:w="226"/>
        <w:gridCol w:w="146"/>
        <w:gridCol w:w="146"/>
        <w:gridCol w:w="393"/>
        <w:gridCol w:w="146"/>
        <w:gridCol w:w="146"/>
        <w:gridCol w:w="146"/>
        <w:gridCol w:w="679"/>
        <w:gridCol w:w="146"/>
        <w:gridCol w:w="146"/>
        <w:gridCol w:w="146"/>
        <w:gridCol w:w="571"/>
        <w:gridCol w:w="146"/>
        <w:gridCol w:w="146"/>
        <w:gridCol w:w="146"/>
        <w:gridCol w:w="424"/>
        <w:gridCol w:w="194"/>
      </w:tblGrid>
      <w:tr>
        <w:trPr/>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00"/>
                  <w:sz w:val="20"/>
                </w:rPr>
                <w:t>Tripadvisor LLC and Michael Noonan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00"/>
                  <w:sz w:val="20"/>
                </w:rPr>
                <w:t>Tripadvisor, Inc. 2023 Stock and Annual Incentive Plan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2/16/24</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00"/>
                  <w:sz w:val="20"/>
                </w:rPr>
                <w:t>Second Amendment, dated March 20, 2025, to the Credit Agreement dated as of June 26, 2015, as amended and restated as of June 29, 2023, and as further amended as of July 8, 2024, by and among Tripadvisor, Inc., Tripadvisor Holdings, LLC, Tripadvisor, LLC, the other Borrowers party thereto, the Lenders party thereto and JPMorgan Chase 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3/20/25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00"/>
                  <w:sz w:val="20"/>
                </w:rPr>
                <w:t>Loan Agreement, by and among Liberty Tripadvisor Holdings, Inc., as Borrower, the guarantors from time to time party thereto and the Company, as Lender, dated March 20,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3/21/25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10.30</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00"/>
                  <w:sz w:val="20"/>
                </w:rPr>
                <w:t>Third Amendment, dated June 5, 2025, to the Amendment and Restatement Agreement, dated as of June 29, 2023, as further amended as of July 8, 2024 and as of March 20, 2025, by and among Tripadvisor, Inc., Tripadvisor Holdings, LLC, Tripadvisor, LLC, the other Borrowers party thereto, the Lenders party thereto and JPMorgan Chase 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10-Q</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001-35362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8/7/25</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19_1.htm">
              <w:r>
                <w:rPr>
                  <w:rStyle w:val="InternetLink"/>
                  <w:rFonts w:ascii="Times New Roman" w:hAnsi="Times New Roman"/>
                  <w:color w:val="000000"/>
                  <w:sz w:val="20"/>
                </w:rPr>
                <w:t>Tripadvisor, Inc.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21_1.htm">
              <w:r>
                <w:rPr>
                  <w:rStyle w:val="InternetLink"/>
                  <w:rFonts w:ascii="Times New Roman" w:hAnsi="Times New Roman"/>
                  <w:color w:val="000080"/>
                  <w:sz w:val="20"/>
                </w:rPr>
                <w:t>Subsidiaries of the Registrant</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23_1.htm">
              <w:r>
                <w:rPr>
                  <w:rStyle w:val="InternetLink"/>
                  <w:rFonts w:ascii="Times New Roman" w:hAnsi="Times New Roman"/>
                  <w:color w:val="000080"/>
                  <w:sz w:val="20"/>
                </w:rPr>
                <w:t>Consent of KPMG LLP, Independent Registered Public Accounting Firm</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80"/>
                  <w:sz w:val="20"/>
                </w:rPr>
                <w:t>Power of Attorney (included in signature page)</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31_1.htm">
              <w:r>
                <w:rPr>
                  <w:rStyle w:val="InternetLink"/>
                  <w:rFonts w:ascii="Times New Roman" w:hAnsi="Times New Roman"/>
                  <w:color w:val="000080"/>
                  <w:sz w:val="20"/>
                </w:rPr>
                <w:t>Certification of the Chief Executive Officer pursuant to Section 302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31_2.htm">
              <w:r>
                <w:rPr>
                  <w:rStyle w:val="InternetLink"/>
                  <w:rFonts w:ascii="Times New Roman" w:hAnsi="Times New Roman"/>
                  <w:color w:val="000080"/>
                  <w:sz w:val="20"/>
                </w:rPr>
                <w:t>Certification of the Chief Financial Officer pursuant to Section 302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32_1.htm">
              <w:r>
                <w:rPr>
                  <w:rStyle w:val="InternetLink"/>
                  <w:rFonts w:ascii="Times New Roman" w:hAnsi="Times New Roman"/>
                  <w:color w:val="000080"/>
                  <w:sz w:val="20"/>
                </w:rPr>
                <w:t>Certification of the Chief Executive Officer pursuant to Section 906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w:anchor="trip-ex32_2.htm">
              <w:r>
                <w:rPr>
                  <w:rStyle w:val="InternetLink"/>
                  <w:rFonts w:ascii="Times New Roman" w:hAnsi="Times New Roman"/>
                  <w:color w:val="000080"/>
                  <w:sz w:val="20"/>
                </w:rPr>
                <w:t>Certification of the Chief Financial Officer pursuant to Section 906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00"/>
                  <w:sz w:val="20"/>
                </w:rPr>
                <w:t>Tripadvisor, Inc. Incentive Compensation Clawback Policy, dated November 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001-35362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2/16/24</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 the instance document does not appear in the Interactive Data File because its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8"/>
        <w:gridCol w:w="146"/>
        <w:gridCol w:w="6467"/>
        <w:gridCol w:w="146"/>
        <w:gridCol w:w="226"/>
        <w:gridCol w:w="146"/>
        <w:gridCol w:w="146"/>
        <w:gridCol w:w="146"/>
        <w:gridCol w:w="146"/>
        <w:gridCol w:w="146"/>
        <w:gridCol w:w="146"/>
        <w:gridCol w:w="146"/>
        <w:gridCol w:w="146"/>
        <w:gridCol w:w="146"/>
        <w:gridCol w:w="146"/>
        <w:gridCol w:w="146"/>
        <w:gridCol w:w="146"/>
        <w:gridCol w:w="146"/>
        <w:gridCol w:w="146"/>
        <w:gridCol w:w="146"/>
        <w:gridCol w:w="192"/>
      </w:tblGrid>
      <w:tr>
        <w:trPr/>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Indicates a management contract or a compensatory plan, contract or arrangement.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8" w:name="item_16"/>
      <w:bookmarkEnd w:id="38"/>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signatures"/>
      <w:bookmarkEnd w:id="3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Section 13 or 15(d) of Securities Exchange Act of 1934, the Registrant has duly caused this report to be signed on its behalf by the undersigned, hereunto duly authorized. </w:t>
      </w:r>
    </w:p>
    <w:tbl>
      <w:tblPr>
        <w:tblW w:w="5515" w:type="dxa"/>
        <w:jc w:val="left"/>
        <w:tblInd w:w="0" w:type="dxa"/>
        <w:tblLayout w:type="fixed"/>
        <w:tblCellMar>
          <w:top w:w="28" w:type="dxa"/>
          <w:left w:w="28" w:type="dxa"/>
          <w:bottom w:w="28" w:type="dxa"/>
          <w:right w:w="28" w:type="dxa"/>
        </w:tblCellMar>
      </w:tblPr>
      <w:tblGrid>
        <w:gridCol w:w="1606"/>
        <w:gridCol w:w="146"/>
        <w:gridCol w:w="406"/>
        <w:gridCol w:w="146"/>
        <w:gridCol w:w="321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TRIPADVISOR, INC.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Matt Goldberg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spacing w:before="360" w:after="283"/>
        <w:jc w:val="center"/>
        <w:rPr>
          <w:rFonts w:ascii="Times New Roman" w:hAnsi="Times New Roman"/>
          <w:sz w:val="20"/>
        </w:rPr>
      </w:pPr>
      <w:bookmarkStart w:id="40" w:name="power_of_attorney"/>
      <w:bookmarkEnd w:id="40"/>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the undersigned officers and directors of Tripadvisor, Inc., hereby severally constitute and appoint Matt Goldberg and Michael Noonan,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indicated as of February 13, 2026. </w:t>
      </w:r>
    </w:p>
    <w:tbl>
      <w:tblPr>
        <w:tblW w:w="7003" w:type="dxa"/>
        <w:jc w:val="left"/>
        <w:tblInd w:w="0" w:type="dxa"/>
        <w:tblLayout w:type="fixed"/>
        <w:tblCellMar>
          <w:top w:w="28" w:type="dxa"/>
          <w:left w:w="28" w:type="dxa"/>
          <w:bottom w:w="28" w:type="dxa"/>
          <w:right w:w="28" w:type="dxa"/>
        </w:tblCellMar>
      </w:tblPr>
      <w:tblGrid>
        <w:gridCol w:w="2896"/>
        <w:gridCol w:w="146"/>
        <w:gridCol w:w="396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Matt Goldberg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continue"/>
            <w:tcBorders/>
            <w:tcMar>
              <w:top w:w="0" w:type="dxa"/>
              <w:left w:w="0" w:type="dxa"/>
              <w:bottom w:w="0" w:type="dxa"/>
              <w:right w:w="0" w:type="dxa"/>
            </w:tcMar>
            <w:vAlign w:val="center"/>
          </w:tcPr>
          <w:p>
            <w:pPr>
              <w:pStyle w:val="Normal"/>
              <w:bidi w:val="0"/>
              <w:jc w:val="left"/>
              <w:rPr/>
            </w:pPr>
            <w:r>
              <w:rPr/>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Michael Noonan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continue"/>
            <w:tcBorders/>
            <w:tcMar>
              <w:top w:w="0" w:type="dxa"/>
              <w:left w:w="0" w:type="dxa"/>
              <w:bottom w:w="0" w:type="dxa"/>
              <w:right w:w="0" w:type="dxa"/>
            </w:tcMar>
            <w:vAlign w:val="center"/>
          </w:tcPr>
          <w:p>
            <w:pPr>
              <w:pStyle w:val="Normal"/>
              <w:bidi w:val="0"/>
              <w:jc w:val="left"/>
              <w:rPr/>
            </w:pPr>
            <w:r>
              <w:rPr/>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GEOFFREY GOUVALARIS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vMerge w:val="restart"/>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Geoffrey Gouvalaris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vMerge w:val="continue"/>
            <w:tcBorders/>
            <w:tcMar>
              <w:top w:w="0" w:type="dxa"/>
              <w:left w:w="0" w:type="dxa"/>
              <w:bottom w:w="0" w:type="dxa"/>
              <w:right w:w="0" w:type="dxa"/>
            </w:tcMar>
            <w:vAlign w:val="center"/>
          </w:tcPr>
          <w:p>
            <w:pPr>
              <w:pStyle w:val="Normal"/>
              <w:bidi w:val="0"/>
              <w:jc w:val="left"/>
              <w:rPr/>
            </w:pPr>
            <w:r>
              <w:rPr/>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B. MAFFEI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Gregory B. Maffei</w:t>
            </w:r>
          </w:p>
          <w:p>
            <w:pPr>
              <w:pStyle w:val="TableContents"/>
              <w:bidi w:val="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TRYNKA SHINEMAN BLAKE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op w:val="single" w:sz="8" w:space="0" w:color="000000"/>
            </w:tcBorders>
            <w:tcMar>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Trynka Shineman Blake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DICHTER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Alex Dichter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BETSY MORGAN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Betsy Morgan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JEREMY PHILIPS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Philips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ALBERT E. ROSENTHALER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Albert E. Rosenthaler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S. WIESENTHAL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S. Wiesenthal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bookmarkStart w:id="41" w:name="trip-ex4_1.htm"/>
      <w:bookmarkStart w:id="42" w:name="kstripex4_1"/>
      <w:bookmarkEnd w:id="41"/>
      <w:bookmarkEnd w:id="42"/>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4.1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DESCRIPTION OF THE REGISTRANT’S SECURITIES</w:t>
        <w:br/>
        <w:t>REGISTERED PURSUANT TO SECTION 12 OF THE</w:t>
        <w:br/>
        <w:t>SECURITIES EXCHANGE ACT OF 1934</w:t>
        <w:br/>
        <w:br/>
        <w:t>Description of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summary of Tripadvisor, Inc.’s common stock does not purport to be complete and is subject to our articles of incorporation, our amended and restated bylaws and the provisions of applicable law. We are organized under Chapter 78 of the Nevada Revised Statutes (“NRS”). Copies of our articles of incorporation and amended and restated bylaws are filed as exhibits to the Annual Report on Form 10-K, of which this Exhibit 4.1 is a part.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Authorized Capitalization</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authorized capital stock consists of 1,600,000,000 shares of common stock, par value $0.001 per share, 400,000,000 shares of Class B common stock, par value $0.001 per share, and 100,000,000 shares of $0.001 par value preferred stock.</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general, the holders of our common stock vote together as a single class with the holders of our Class B common stock on all matters, including the election of directors; provided, however, that the holders of our common stock, voting as a single class, are entitled to elect twenty-five percent (25%) of the total number of directors, rounded up to the next whole number in the event of a fraction. Each outstanding share of our common stock entitles the holder to one vote per share. Our articles of incorporation do not provide for cumulative voting in the election of directors. Subject to any preferential rights of any outstanding series of our preferred stock designated by the Tripadvisor Board of Directors (the “Board”) from time to time and further subject to applicable law, the holders of our common stock are entitled, share for share with the holders of our Class B common stock, to such dividends if, as and when may be declared from time to time by our Board, and, upon liquidation, dissolution or winding up, will be entitled to receive, share for share with the holders of our Class B common stock, all assets available for distribution after satisfaction of the rights of the holders of any then outstanding series of preferred stock.</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Class B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general, the holders of Class B common stock vote together as a single class with the holders of our common stock on all matters, including the election of directors. The holders of our Class B common stock are entitled to ten votes per share. Our articles of incorporation do not provide for cumulative voting in the election of directors. Subject to any preferential rights of any outstanding series of our preferred stock designated by our Board from time to time and further subject to applicable law, the holders of our Class B common stock are entitled, share for share with the holders of our common stock, to such dividends if, as and when may be declared from time to time by our Board, and, upon liquidation, dissolution or winding up, will be entitled to receive, share for share with the holders of our common stock, all assets available for distribution after satisfaction of the rights of the holders of any then outstanding series of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Class B common stock shall be convertible into shares of the common stock of the Corporation at the option of the holder thereof at any time on a share for share basis. Such conversion ratio shall in all events be equitably preserved in the event of any recapitalization of the Corporation by means of a stock dividend on, or a stock split or combination of, outstanding common stock or Class B common stock, or in the event of any merger, consolidation or other reorganization of the Corporation with another corporation. Upon the conversion of Class B common stock into shares of common stock, said shares of Class B common stock shall be retired and shall not be subject to reissue.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Other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holder of common stock is subject to, and may be adversely affected by, the rights of the holders of any series of preferred stock that we may designate and issue in the future.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Anti-takeover Effects of our Articles of Incorporation and Amended and Restated Bylaws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amended and restated bylaws provide that only the Chair of the Board or a majority of our Board may call a special meeting of stockholders. Under the NRS, directors may be removed only by the vote of stockholders representing not less than two-thirds of the voting power of the issued and outstanding stock entitled to vote, or by a greater proportion if provided in the articles of incorporation. Our articles of incorporation do not alter that statutory standard for removal of directors. They do provide that the Chair of the Board may only be removed without cause by the affirmative vote of at least 80% of the entire Board, and such provision of the articles of incorporation may not be amended or repealed (or any inconsistent provision adopted) without the approval of at least 80% of the entire Board and 80% of the voting power of our outstanding voting securities, voting together as a single class. The rights of the Class B common stock under our articles of incorporation may not be amended, altered, changed or repealed without the approval of the holders of the requisite number of shares of Class B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Nevada’s “business combination” statute (NRS 78.411 to 78.444, inclusive) (the “Business Combination Statute”) imposes a moratorium of up to four years prohibiting a Nevada corporation having 200 or more stockholders of record from entering into certain “business combinations,” including mergers, consolidations, sales and leases of assets, issuances of securities and similar transactions, with any “interested stockholders,” meaning any person who beneficially owns (or any affiliates or associate of the corporation who within the previous two years owned), directly or indirectly, 10% or more of the voting power of the outstanding voting shares of the corporation. Within two years after the date that the person first became an interested stockholder, the prohibition does not apply if the combination or the transaction by which such person first becomes an interested stockholder is approved in advance by a corporation’s board of directors or if the combination is approved by the board and 60% of the corporation’s voting power not beneficially owned by the interested stockholder, its affiliates and associates. After the two-year period, the restrictions are relaxed to permit combinations approved of a simple majority of disinterested stockholders or that satisfy certain requirements as to the amount and form of consideration to be received by the disinterested stockholders. The Business Combination Statute does not apply to any combination of a corporation and an interested stockholder after more than four years after the person first became an interested stockholder. Corporations may opt out of the business combination provisions of the Business Combination Statute, but we have not done so in our articles of incorporation. Any opt-out of the business combinations provisions of the NRS must be contained in an amendment to our articles of incorporation approved by the affirmative vote of a majority of the outstanding voting power not then owned by interested stockholders. Such an amendment would not be effective until 18 months after the vote of the stockholders to approve the amendment, and would not apply to any combination with a person who first became an interested stockholder on or before the effective date of the amendment.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Nevada’s “acquisition of controlling interest” statute (NRS 78.378 to 78.3793, inclusive) (the “Control Share Statute”) applies to “issuing corporations” that are Nevada corporations doing business in Nevada and having at least 200 stockholders of record, at least 100 of whom have addresses in Nevada appearing in the stock ledger of the corporation. The Control Share Statute prohibits an acquirer, under certain circumstances, from voting its shares of a target corporation’s stock after crossing certain ownership threshold percentages, unless the acquirer obtains approval of the target corporation’s disinterested stockholders. The Control Share Statute specifies three thresholds: (i) one-fifth or more but less than one-third; (ii) one-third but less than a majority; and (iii) a majority or more, of the outstanding voting power. Generally, once an acquirer crosses one of the above thresholds, those shares in an offer or acquisition and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Nevada’s dissenter’s rights statutes. A corporation may elect to not be governed by, or “opt out” of, the Control Share Statute generally, or that the Control Share Statute shall not apply to a certain acquisitions of a controlling interests by existing or future stockholders, by making an election in its articles of incorporation or bylaws, provided that the opt-out election must be in place on the 10th day following the date 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acquiring person has acquired a controlling interest, that is, crossing any of the three thresholds described above. We have opted out of the control share statutes in our articles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provisions of our organizational documents and the NRS, alone or in combination with each other, may discourage transactions involving actual or potential changes of control, including transactions that otherwise could involve payment of a premium over prevailing market prices to holders of common stock, could limit the ability of stockholders to approve transactions that they may deem to be in their best interests, and could make it considerably more difficult for a potential acquirer to replace management.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the fullest extent permitted by law, and unless we consent in writing to the selection of an alternative forum, our articles of incorporation provide that the Eighth Judicial District Court sitting in Clark County in the State of Nevada (the “Nevada Court”) shall be the sole and exclusive forum for any stockholder (including a beneficial owner) to bring (i) any derivative action or proceeding brought on behalf of us, (ii) any action asserting a claim of breach of a fiduciary duty owed by any of our director, officer or other employee to us or our stockholders, (iii) any action asserting a claim against us or our directors, officers or employees arising pursuant to any provision of the NRS, our articles of incorporation or amended and restated bylaws, or (iv) any action asserting a claim against us, our directors, officers or employees governed by the internal affairs doctrine and, if brought outside of Nevada, the stockholder bringing the suit will be deemed to have consented to service of process on such stockholder’s counsel. Notwithstanding the foregoing, the Nevada Court shall not be the sole and exclusive forum for any of the following actions: (A) as to which the Nevada Court determines that there is an indispensable party not subject to the jurisdiction of the Nevada Court (and the indispensable party does not consent to the personal jurisdiction of the Nevada Court within ten days following such determination), (B) which is vested in the exclusive jurisdiction of a court or forum other than the Nevada Court, (C) for which the Nevada Court does not have subject matter jurisdiction, or (D) any action arising under the Securities Act of 1933, as amended, as to which the Nevada Court and the federal district court for the District of Nevada shall have concurrent jurisdiction. Furthermore, notwithstanding the foregoing, such provisions will not apply to suits brought to enforce any liability or duty created by the Exchange Act of 1934, as amended, or any other claim for which the federal courts have exclusive jurisdiction. To the fullest extent permitted by law, any person or entity purchasing or otherwise acquiring or holding any interest in our shares of capital stock shall be deemed to have notice of and consented to the choice of forum provision in our articles of incorporation.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transfer agent and registrar for our common stock is ComputerShare. Its address is 150 Royall Street, Canton, MA 02021.</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listed on The Nasdaq Global Select Market under the trading symbol “TRIP”.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3" w:name="trip-ex19_1.htm"/>
      <w:bookmarkStart w:id="44" w:name="kstripex19_1"/>
      <w:bookmarkEnd w:id="43"/>
      <w:bookmarkEnd w:id="44"/>
      <w:r>
        <w:rPr>
          <w:rFonts w:ascii="Times New Roman" w:hAnsi="Times New Roman"/>
          <w:b/>
          <w:color w:val="000000"/>
          <w:sz w:val="24"/>
        </w:rPr>
        <w:t>Exhibit 19.1</w:t>
      </w:r>
      <w:r>
        <w:br w:type="page"/>
      </w:r>
    </w:p>
    <w:p>
      <w:pPr>
        <w:pStyle w:val="TextBody"/>
        <w:bidi w:val="0"/>
        <w:jc w:val="left"/>
        <w:rPr/>
      </w:pPr>
      <w:r>
        <w:rPr/>
        <w:t> </w:t>
      </w:r>
    </w:p>
    <w:tbl>
      <w:tblPr>
        <w:tblW w:w="8852" w:type="dxa"/>
        <w:jc w:val="left"/>
        <w:tblInd w:w="0" w:type="dxa"/>
        <w:tblLayout w:type="fixed"/>
        <w:tblCellMar>
          <w:top w:w="28" w:type="dxa"/>
          <w:left w:w="28" w:type="dxa"/>
          <w:bottom w:w="28" w:type="dxa"/>
          <w:right w:w="28" w:type="dxa"/>
        </w:tblCellMar>
      </w:tblPr>
      <w:tblGrid>
        <w:gridCol w:w="2916"/>
        <w:gridCol w:w="5936"/>
      </w:tblGrid>
      <w:tr>
        <w:trPr/>
        <w:tc>
          <w:tcPr>
            <w:tcW w:w="2916" w:type="dxa"/>
            <w:tcBorders/>
            <w:vAlign w:val="center"/>
          </w:tcPr>
          <w:p>
            <w:pPr>
              <w:pStyle w:val="TableContents"/>
              <w:bidi w:val="0"/>
              <w:spacing w:before="0" w:after="283"/>
              <w:jc w:val="left"/>
              <w:rPr>
                <w:sz w:val="4"/>
                <w:szCs w:val="4"/>
              </w:rPr>
            </w:pPr>
            <w:r>
              <w:rPr>
                <w:sz w:val="4"/>
                <w:szCs w:val="4"/>
              </w:rPr>
            </w:r>
          </w:p>
        </w:tc>
        <w:tc>
          <w:tcPr>
            <w:tcW w:w="5936" w:type="dxa"/>
            <w:tcBorders/>
            <w:vAlign w:val="center"/>
          </w:tcPr>
          <w:p>
            <w:pPr>
              <w:pStyle w:val="TableContents"/>
              <w:bidi w:val="0"/>
              <w:spacing w:before="0" w:after="283"/>
              <w:jc w:val="left"/>
              <w:rPr>
                <w:sz w:val="4"/>
                <w:szCs w:val="4"/>
              </w:rPr>
            </w:pPr>
            <w:r>
              <w:rPr>
                <w:sz w:val="4"/>
                <w:szCs w:val="4"/>
              </w:rPr>
            </w:r>
          </w:p>
        </w:tc>
      </w:tr>
      <w:tr>
        <w:trPr/>
        <w:tc>
          <w:tcPr>
            <w:tcW w:w="291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ind w:left="0" w:right="0" w:firstLine="295"/>
              <w:jc w:val="center"/>
              <w:rPr/>
            </w:pPr>
            <w:r>
              <w:rPr/>
              <w:drawing>
                <wp:inline distT="0" distB="0" distL="0" distR="0">
                  <wp:extent cx="16002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8"/>
                          <a:stretch>
                            <a:fillRect/>
                          </a:stretch>
                        </pic:blipFill>
                        <pic:spPr bwMode="auto">
                          <a:xfrm>
                            <a:off x="0" y="0"/>
                            <a:ext cx="1600200" cy="342900"/>
                          </a:xfrm>
                          <a:prstGeom prst="rect">
                            <a:avLst/>
                          </a:prstGeom>
                        </pic:spPr>
                      </pic:pic>
                    </a:graphicData>
                  </a:graphic>
                </wp:inline>
              </w:drawing>
            </w:r>
          </w:p>
        </w:tc>
        <w:tc>
          <w:tcPr>
            <w:tcW w:w="593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ind w:left="0" w:right="0" w:firstLine="295"/>
              <w:jc w:val="center"/>
              <w:rPr>
                <w:rFonts w:ascii="Times New Roman" w:hAnsi="Times New Roman"/>
                <w:sz w:val="32"/>
              </w:rPr>
            </w:pPr>
            <w:r>
              <w:rPr>
                <w:rFonts w:ascii="sans-serif" w:hAnsi="sans-serif"/>
                <w:b/>
                <w:color w:val="000000"/>
                <w:sz w:val="32"/>
              </w:rPr>
              <w:t>Insider Trading Policy</w:t>
            </w:r>
            <w:r>
              <w:rPr>
                <w:rFonts w:ascii="Times New Roman" w:hAnsi="Times New Roman"/>
                <w:color w:val="000000"/>
                <w:sz w:val="32"/>
              </w:rPr>
              <w:t xml:space="preserve"> </w:t>
            </w:r>
          </w:p>
          <w:p>
            <w:pPr>
              <w:pStyle w:val="TableContents"/>
              <w:bidi w:val="0"/>
              <w:spacing w:before="60" w:after="283"/>
              <w:ind w:left="0" w:right="0" w:firstLine="295"/>
              <w:jc w:val="left"/>
              <w:rPr>
                <w:color w:val="000000"/>
              </w:rPr>
            </w:pPr>
            <w:r>
              <w:rPr>
                <w:color w:val="000000"/>
              </w:rPr>
              <w:t>        </w:t>
            </w:r>
            <w:r>
              <w:rPr>
                <w:rFonts w:ascii="sans-serif" w:hAnsi="sans-serif"/>
                <w:b/>
                <w:color w:val="000000"/>
                <w:sz w:val="27"/>
              </w:rPr>
              <w:t>Effective Date: October 29, 2025</w:t>
            </w:r>
          </w:p>
        </w:tc>
      </w:tr>
    </w:tbl>
    <w:p>
      <w:pPr>
        <w:pStyle w:val="TextBody"/>
        <w:bidi w:val="0"/>
        <w:jc w:val="left"/>
        <w:rPr/>
      </w:pPr>
      <w:r>
        <w:rPr/>
        <w:t> </w:t>
      </w:r>
    </w:p>
    <w:p>
      <w:pPr>
        <w:pStyle w:val="TextBody"/>
        <w:bidi w:val="0"/>
        <w:jc w:val="both"/>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Tripadvisor, Inc. (together with its subsidiaries the “Company”) has adopted this Insider Trading Policy (this “Policy”) to promote compliance with federal securities laws and to protect the Company’s reputation for integrity and ethical conduct. The Policy governs transactions in securities of the Company or any other issuer where violations of securities laws could arise. The objectives of this Policy are (i) to help prevent any actual or perceived impropriety, either of which could lead to allegations of insider trading and the potential for significant liability on the part of any implicated parties; and (ii) to protect the Company’s reputation for integrity and ethical conduct. As a result of applicable securities laws and this Policy, Covered Persons (as defined below) may, from time to time, have to forego or delay a desired securities transaction and may, as a consequence, suffer economic loss or forego anticipated profit.</w:t>
      </w:r>
    </w:p>
    <w:p>
      <w:pPr>
        <w:pStyle w:val="TextBody"/>
        <w:bidi w:val="0"/>
        <w:spacing w:before="0" w:after="240"/>
        <w:jc w:val="both"/>
        <w:rPr>
          <w:rFonts w:ascii="sans-serif" w:hAnsi="sans-serif"/>
          <w:color w:val="000000"/>
          <w:sz w:val="22"/>
        </w:rPr>
      </w:pPr>
      <w:r>
        <w:rPr>
          <w:rFonts w:ascii="sans-serif" w:hAnsi="sans-serif"/>
          <w:color w:val="000000"/>
          <w:sz w:val="22"/>
        </w:rPr>
        <w:t>The Policy is applicable to all directors, officers, employees, contractors and consultants of the Company, as well as any immediate family members sharing the household of any of the foregoing and any family members not sharing the same household but whose trading is directed by any of the foregoing (collectively, the “Covered Persons”). Individuals subject to this Policy are responsible for ensuring that their immediate family members comply with this Policy.</w:t>
      </w:r>
    </w:p>
    <w:p>
      <w:pPr>
        <w:pStyle w:val="TextBody"/>
        <w:bidi w:val="0"/>
        <w:spacing w:before="0" w:after="240"/>
        <w:jc w:val="left"/>
        <w:rPr>
          <w:rFonts w:ascii="Calibri" w:hAnsi="Calibri"/>
          <w:b/>
          <w:color w:val="000000"/>
          <w:sz w:val="22"/>
        </w:rPr>
      </w:pPr>
      <w:r>
        <w:rPr>
          <w:rFonts w:ascii="Calibri" w:hAnsi="Calibri"/>
          <w:b/>
          <w:color w:val="000000"/>
          <w:sz w:val="22"/>
        </w:rPr>
        <w:t>I.</w:t>
      </w:r>
    </w:p>
    <w:p>
      <w:pPr>
        <w:pStyle w:val="TextBody"/>
        <w:bidi w:val="0"/>
        <w:spacing w:before="0" w:after="240"/>
        <w:jc w:val="left"/>
        <w:rPr>
          <w:rFonts w:ascii="sans-serif" w:hAnsi="sans-serif"/>
          <w:b/>
          <w:color w:val="000000"/>
          <w:sz w:val="22"/>
        </w:rPr>
      </w:pPr>
      <w:r>
        <w:rPr>
          <w:rFonts w:ascii="sans-serif" w:hAnsi="sans-serif"/>
          <w:b/>
          <w:color w:val="000000"/>
          <w:sz w:val="22"/>
        </w:rPr>
        <w:t>Background</w:t>
      </w:r>
    </w:p>
    <w:p>
      <w:pPr>
        <w:pStyle w:val="TextBody"/>
        <w:bidi w:val="0"/>
        <w:spacing w:before="0" w:after="240"/>
        <w:jc w:val="both"/>
        <w:rPr>
          <w:rFonts w:ascii="sans-serif" w:hAnsi="sans-serif"/>
          <w:color w:val="000000"/>
          <w:sz w:val="22"/>
        </w:rPr>
      </w:pPr>
      <w:r>
        <w:rPr>
          <w:rFonts w:ascii="sans-serif" w:hAnsi="sans-serif"/>
          <w:color w:val="000000"/>
          <w:sz w:val="22"/>
        </w:rPr>
        <w:t>Federal securities laws prohibit a person from trading securities if the person is aware of “material non-public information” about the issuer of the securities. These laws also prohibit persons who are aware of such information from disclosing or “tipping” this information to others who may trade. Both the U.S. Securities and Exchange Commission (the “SEC”) and the national securities exchanges investigate, and are very effective at detecting, insider trading.</w:t>
      </w:r>
    </w:p>
    <w:p>
      <w:pPr>
        <w:pStyle w:val="TextBody"/>
        <w:bidi w:val="0"/>
        <w:spacing w:before="0" w:after="240"/>
        <w:jc w:val="both"/>
        <w:rPr>
          <w:color w:val="000000"/>
        </w:rPr>
      </w:pPr>
      <w:r>
        <w:rPr>
          <w:color w:val="000000"/>
        </w:rPr>
        <w:t>“</w:t>
      </w:r>
      <w:r>
        <w:rPr>
          <w:rFonts w:ascii="sans-serif" w:hAnsi="sans-serif"/>
          <w:color w:val="000000"/>
          <w:sz w:val="22"/>
        </w:rPr>
        <w:t>Material information” has been defined as information that could be expected to affect the investment decision of a reasonable investor or to affect the market price of the stock. Both positive and negative information may be material. What is material is usually determined on a case-by-case basis, in light of all the surrounding circumstances; and it is not possible to define all categories of material information. Following are examples of information which could be material:</w:t>
      </w:r>
    </w:p>
    <w:p>
      <w:pPr>
        <w:pStyle w:val="TextBody"/>
        <w:bidi w:val="0"/>
        <w:jc w:val="both"/>
        <w:rPr/>
      </w:pPr>
      <w:r>
        <w:rPr>
          <w:color w:val="000000"/>
        </w:rPr>
        <w:t xml:space="preserve">▪ </w:t>
      </w:r>
      <w:r>
        <w:rPr>
          <w:rFonts w:ascii="sans-serif" w:hAnsi="sans-serif"/>
          <w:color w:val="000000"/>
          <w:sz w:val="22"/>
        </w:rPr>
        <w:t>unpublished earnings reports, projections, or performance against key operational metrics,</w:t>
      </w:r>
    </w:p>
    <w:p>
      <w:pPr>
        <w:pStyle w:val="TextBody"/>
        <w:bidi w:val="0"/>
        <w:jc w:val="both"/>
        <w:rPr/>
      </w:pPr>
      <w:r>
        <w:rPr>
          <w:color w:val="000000"/>
        </w:rPr>
        <w:t xml:space="preserve">▪ </w:t>
      </w:r>
      <w:r>
        <w:rPr>
          <w:rFonts w:ascii="sans-serif" w:hAnsi="sans-serif"/>
          <w:color w:val="000000"/>
          <w:sz w:val="22"/>
        </w:rPr>
        <w:t>proposed major spending programs or cost-saving initiatives,</w:t>
      </w:r>
    </w:p>
    <w:p>
      <w:pPr>
        <w:pStyle w:val="TextBody"/>
        <w:bidi w:val="0"/>
        <w:jc w:val="both"/>
        <w:rPr/>
      </w:pPr>
      <w:r>
        <w:rPr>
          <w:color w:val="000000"/>
        </w:rPr>
        <w:t xml:space="preserve">▪ </w:t>
      </w:r>
      <w:r>
        <w:rPr>
          <w:rFonts w:ascii="sans-serif" w:hAnsi="sans-serif"/>
          <w:color w:val="000000"/>
          <w:sz w:val="22"/>
        </w:rPr>
        <w:t>regulatory or litigation problems, including the threat of significant litigation,</w:t>
      </w:r>
    </w:p>
    <w:p>
      <w:pPr>
        <w:pStyle w:val="TextBody"/>
        <w:bidi w:val="0"/>
        <w:jc w:val="both"/>
        <w:rPr/>
      </w:pPr>
      <w:r>
        <w:rPr>
          <w:color w:val="000000"/>
        </w:rPr>
        <w:t xml:space="preserve">▪ </w:t>
      </w:r>
      <w:r>
        <w:rPr>
          <w:rFonts w:ascii="sans-serif" w:hAnsi="sans-serif"/>
          <w:color w:val="000000"/>
          <w:sz w:val="22"/>
        </w:rPr>
        <w:t>significant changes in senior management,</w:t>
      </w:r>
    </w:p>
    <w:p>
      <w:pPr>
        <w:pStyle w:val="TextBody"/>
        <w:bidi w:val="0"/>
        <w:jc w:val="both"/>
        <w:rPr/>
      </w:pPr>
      <w:r>
        <w:rPr>
          <w:color w:val="000000"/>
        </w:rPr>
        <w:t xml:space="preserve">▪ </w:t>
      </w:r>
      <w:r>
        <w:rPr>
          <w:rFonts w:ascii="sans-serif" w:hAnsi="sans-serif"/>
          <w:color w:val="000000"/>
          <w:sz w:val="22"/>
        </w:rPr>
        <w:t>pending or proposed acquisition or divestiture of a significant business or significant assets,</w:t>
      </w:r>
    </w:p>
    <w:p>
      <w:pPr>
        <w:pStyle w:val="TextBody"/>
        <w:bidi w:val="0"/>
        <w:jc w:val="both"/>
        <w:rPr/>
      </w:pPr>
      <w:r>
        <w:rPr>
          <w:color w:val="000000"/>
        </w:rPr>
        <w:t xml:space="preserve">▪ </w:t>
      </w:r>
      <w:r>
        <w:rPr>
          <w:rFonts w:ascii="sans-serif" w:hAnsi="sans-serif"/>
          <w:color w:val="000000"/>
          <w:sz w:val="22"/>
        </w:rPr>
        <w:t>securities offerings or other financings,</w:t>
      </w:r>
    </w:p>
    <w:p>
      <w:pPr>
        <w:pStyle w:val="TextBody"/>
        <w:bidi w:val="0"/>
        <w:jc w:val="both"/>
        <w:rPr/>
      </w:pPr>
      <w:r>
        <w:rPr>
          <w:color w:val="000000"/>
        </w:rPr>
        <w:t xml:space="preserve">▪ </w:t>
      </w:r>
      <w:r>
        <w:rPr>
          <w:rFonts w:ascii="sans-serif" w:hAnsi="sans-serif"/>
          <w:color w:val="000000"/>
          <w:sz w:val="22"/>
        </w:rPr>
        <w:t>stock repurchase programs,</w:t>
      </w:r>
    </w:p>
    <w:p>
      <w:pPr>
        <w:pStyle w:val="TextBody"/>
        <w:bidi w:val="0"/>
        <w:jc w:val="both"/>
        <w:rPr/>
      </w:pPr>
      <w:r>
        <w:rPr>
          <w:color w:val="000000"/>
        </w:rPr>
        <w:t xml:space="preserve">▪ </w:t>
      </w:r>
      <w:r>
        <w:rPr>
          <w:rFonts w:ascii="sans-serif" w:hAnsi="sans-serif"/>
          <w:color w:val="000000"/>
          <w:sz w:val="22"/>
        </w:rPr>
        <w:t>new product launches,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 xml:space="preserve">▪ </w:t>
      </w:r>
      <w:r>
        <w:rPr>
          <w:rFonts w:ascii="sans-serif" w:hAnsi="sans-serif"/>
          <w:color w:val="000000"/>
          <w:sz w:val="22"/>
        </w:rPr>
        <w:t>new major contracts, suppliers or partners, or the loss thereof, and</w:t>
      </w:r>
    </w:p>
    <w:p>
      <w:pPr>
        <w:pStyle w:val="TextBody"/>
        <w:bidi w:val="0"/>
        <w:spacing w:before="0" w:after="240"/>
        <w:jc w:val="both"/>
        <w:rPr/>
      </w:pPr>
      <w:r>
        <w:rPr>
          <w:color w:val="000000"/>
        </w:rPr>
        <w:t xml:space="preserve">▪ </w:t>
      </w:r>
      <w:r>
        <w:rPr>
          <w:rFonts w:ascii="sans-serif" w:hAnsi="sans-serif"/>
          <w:color w:val="000000"/>
          <w:sz w:val="22"/>
        </w:rPr>
        <w:t>Cybersecurity incidents or breach, including data breach.</w:t>
      </w:r>
    </w:p>
    <w:p>
      <w:pPr>
        <w:pStyle w:val="TextBody"/>
        <w:bidi w:val="0"/>
        <w:spacing w:before="0" w:after="240"/>
        <w:jc w:val="both"/>
        <w:rPr>
          <w:rFonts w:ascii="sans-serif" w:hAnsi="sans-serif"/>
          <w:color w:val="000000"/>
          <w:sz w:val="22"/>
        </w:rPr>
      </w:pPr>
      <w:r>
        <w:rPr>
          <w:rFonts w:ascii="sans-serif" w:hAnsi="sans-serif"/>
          <w:color w:val="000000"/>
          <w:sz w:val="22"/>
        </w:rPr>
        <w:t>Information should be considered “non-public” if it has not been disclosed to the general public. In order for information to be considered public, it must be included in filings with the SEC, been the subject of a widely disseminated press release or widely reported in the media. In addition, even after a public announcement, a reasonable period of time must elapse in order for the market to react to the information. Information should generally be considered “non-public” until the opening of the market on the second trading day following the day on which such information was widely disseminated.</w:t>
      </w:r>
    </w:p>
    <w:p>
      <w:pPr>
        <w:pStyle w:val="TextBody"/>
        <w:bidi w:val="0"/>
        <w:spacing w:before="0" w:after="240"/>
        <w:jc w:val="left"/>
        <w:rPr>
          <w:rFonts w:ascii="Calibri" w:hAnsi="Calibri"/>
          <w:b/>
          <w:color w:val="000000"/>
          <w:sz w:val="22"/>
        </w:rPr>
      </w:pPr>
      <w:r>
        <w:rPr>
          <w:rFonts w:ascii="Calibri" w:hAnsi="Calibri"/>
          <w:b/>
          <w:color w:val="000000"/>
          <w:sz w:val="22"/>
        </w:rPr>
        <w:t>II.</w:t>
      </w:r>
    </w:p>
    <w:p>
      <w:pPr>
        <w:pStyle w:val="TextBody"/>
        <w:bidi w:val="0"/>
        <w:spacing w:before="0" w:after="240"/>
        <w:jc w:val="left"/>
        <w:rPr>
          <w:rFonts w:ascii="sans-serif" w:hAnsi="sans-serif"/>
          <w:b/>
          <w:color w:val="000000"/>
          <w:sz w:val="22"/>
        </w:rPr>
      </w:pPr>
      <w:r>
        <w:rPr>
          <w:rFonts w:ascii="sans-serif" w:hAnsi="sans-serif"/>
          <w:b/>
          <w:color w:val="000000"/>
          <w:sz w:val="22"/>
        </w:rPr>
        <w:t>Transactions Covered</w:t>
      </w:r>
    </w:p>
    <w:p>
      <w:pPr>
        <w:pStyle w:val="TextBody"/>
        <w:bidi w:val="0"/>
        <w:spacing w:before="0" w:after="240"/>
        <w:jc w:val="both"/>
        <w:rPr>
          <w:rFonts w:ascii="sans-serif" w:hAnsi="sans-serif"/>
          <w:color w:val="000000"/>
          <w:sz w:val="22"/>
        </w:rPr>
      </w:pPr>
      <w:r>
        <w:rPr>
          <w:rFonts w:ascii="sans-serif" w:hAnsi="sans-serif"/>
          <w:color w:val="000000"/>
          <w:sz w:val="22"/>
        </w:rPr>
        <w:t>The Policy governs sales, purchases or other transfers of (i) the Company’s securities, including its common stock, options to purchase common stock, any other type of securities that the Company may issue (such as preferred stock, convertible debentures, warrants or other derivative securities); and (ii) any derivative securities that provide the economic equivalent of ownership of any of the Company’s securities or an opportunity, direct or indirect, to profit from any change in the value of the Company’s securities (collectively, the “Company Securities”). Each Covered Person is responsible for compliance with this Policy and applicable securities laws, irrespective of any action or approval by the Chief Compliance Officer. Clearance or approval does not constitute legal advice and does not protect an individual from liability for insider trading.</w:t>
      </w:r>
    </w:p>
    <w:p>
      <w:pPr>
        <w:pStyle w:val="TextBody"/>
        <w:bidi w:val="0"/>
        <w:spacing w:before="0" w:after="240"/>
        <w:jc w:val="both"/>
        <w:rPr>
          <w:rFonts w:ascii="sans-serif" w:hAnsi="sans-serif"/>
          <w:color w:val="000000"/>
          <w:sz w:val="22"/>
        </w:rPr>
      </w:pPr>
      <w:r>
        <w:rPr>
          <w:rFonts w:ascii="sans-serif" w:hAnsi="sans-serif"/>
          <w:color w:val="000000"/>
          <w:sz w:val="22"/>
        </w:rPr>
        <w:t>The Policy’s trading restrictions do not apply to the exercise of an employee stock option by payment of the exercise price and any required tax withholding in cash; however, the Policy does apply to any sale of stock acquired by exercising employee stock options and to cashless exercise of options.</w:t>
      </w:r>
    </w:p>
    <w:p>
      <w:pPr>
        <w:pStyle w:val="TextBody"/>
        <w:bidi w:val="0"/>
        <w:spacing w:before="0" w:after="240"/>
        <w:jc w:val="left"/>
        <w:rPr>
          <w:rFonts w:ascii="Calibri" w:hAnsi="Calibri"/>
          <w:b/>
          <w:color w:val="000000"/>
          <w:sz w:val="22"/>
        </w:rPr>
      </w:pPr>
      <w:r>
        <w:rPr>
          <w:rFonts w:ascii="Calibri" w:hAnsi="Calibri"/>
          <w:b/>
          <w:color w:val="000000"/>
          <w:sz w:val="22"/>
        </w:rPr>
        <w:t>III.</w:t>
      </w:r>
    </w:p>
    <w:p>
      <w:pPr>
        <w:pStyle w:val="TextBody"/>
        <w:bidi w:val="0"/>
        <w:spacing w:before="0" w:after="240"/>
        <w:jc w:val="left"/>
        <w:rPr>
          <w:rFonts w:ascii="sans-serif" w:hAnsi="sans-serif"/>
          <w:b/>
          <w:color w:val="000000"/>
          <w:sz w:val="22"/>
        </w:rPr>
      </w:pPr>
      <w:r>
        <w:rPr>
          <w:rFonts w:ascii="sans-serif" w:hAnsi="sans-serif"/>
          <w:b/>
          <w:color w:val="000000"/>
          <w:sz w:val="22"/>
        </w:rPr>
        <w:t>Trading Policy Applicable to All Covered Persons</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sans-serif" w:hAnsi="sans-serif"/>
          <w:color w:val="000000"/>
          <w:sz w:val="22"/>
          <w:u w:val="single"/>
        </w:rPr>
        <w:t>General Policy</w:t>
      </w:r>
      <w:r>
        <w:rPr>
          <w:rFonts w:ascii="sans-serif" w:hAnsi="sans-serif"/>
          <w:color w:val="000000"/>
          <w:sz w:val="22"/>
        </w:rPr>
        <w:t>. A Covered Person may not buy, sell or otherwise transfer Company Securities if such person is aware of any material non-public information, as defined in the Background section above.</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sans-serif" w:hAnsi="sans-serif"/>
          <w:color w:val="000000"/>
          <w:sz w:val="22"/>
          <w:u w:val="single"/>
        </w:rPr>
        <w:t>Prohibition on Tipping</w:t>
      </w:r>
      <w:r>
        <w:rPr>
          <w:rFonts w:ascii="sans-serif" w:hAnsi="sans-serif"/>
          <w:color w:val="000000"/>
          <w:sz w:val="22"/>
        </w:rPr>
        <w:t>. A Covered Person may not pass on to any non-Covered Person any material non-public information concerning the Company, whether or not the Covered Person has any information regarding the non-Covered Person’s intention to engage in any transaction involving the Company Securities, except as required by the Covered Person’s duties for the Company. Additionally, no Covered Person shall recommend to any person that such person engage in or refrain from engaging in any transaction involving Company Securities if such Covered Person is aware of material non-public information regarding the Company.</w:t>
      </w:r>
    </w:p>
    <w:p>
      <w:pPr>
        <w:pStyle w:val="TextBody"/>
        <w:bidi w:val="0"/>
        <w:spacing w:before="0" w:after="240"/>
        <w:jc w:val="both"/>
        <w:rPr>
          <w:rFonts w:ascii="Calibri" w:hAnsi="Calibri"/>
          <w:color w:val="000000"/>
          <w:sz w:val="22"/>
        </w:rPr>
      </w:pPr>
      <w:r>
        <w:rPr>
          <w:rFonts w:ascii="Calibri" w:hAnsi="Calibri"/>
          <w:color w:val="000000"/>
          <w:sz w:val="22"/>
        </w:rPr>
        <w:t>C.</w:t>
      </w:r>
    </w:p>
    <w:p>
      <w:pPr>
        <w:pStyle w:val="TextBody"/>
        <w:bidi w:val="0"/>
        <w:spacing w:before="0" w:after="240"/>
        <w:jc w:val="both"/>
        <w:rPr/>
      </w:pPr>
      <w:r>
        <w:rPr>
          <w:rFonts w:ascii="sans-serif" w:hAnsi="sans-serif"/>
          <w:color w:val="000000"/>
          <w:sz w:val="22"/>
          <w:u w:val="single"/>
        </w:rPr>
        <w:t>Derivatives</w:t>
      </w:r>
      <w:r>
        <w:rPr>
          <w:rFonts w:ascii="sans-serif" w:hAnsi="sans-serif"/>
          <w:color w:val="000000"/>
          <w:sz w:val="22"/>
        </w:rPr>
        <w:t>. No Covered Person may engage in transactions in publicly traded options, such as puts, calls and other derivative securities, relating to Company Securities, or engage in short sales with respect to Company Securities. This prohibition extends to various forms of hedging transactions or monetization transactions, such as collars and forward sale contracts, as they involve the establishment of a short position in Company Securities.</w:t>
      </w:r>
    </w:p>
    <w:p>
      <w:pPr>
        <w:pStyle w:val="TextBody"/>
        <w:bidi w:val="0"/>
        <w:spacing w:before="0" w:after="240"/>
        <w:jc w:val="both"/>
        <w:rPr>
          <w:rFonts w:ascii="Calibri" w:hAnsi="Calibri"/>
          <w:color w:val="000000"/>
          <w:sz w:val="22"/>
        </w:rPr>
      </w:pPr>
      <w:r>
        <w:rPr>
          <w:rFonts w:ascii="Calibri" w:hAnsi="Calibri"/>
          <w:color w:val="000000"/>
          <w:sz w:val="22"/>
        </w:rPr>
        <w:t>D.</w:t>
      </w:r>
    </w:p>
    <w:p>
      <w:pPr>
        <w:pStyle w:val="TextBody"/>
        <w:bidi w:val="0"/>
        <w:spacing w:before="0" w:after="240"/>
        <w:jc w:val="both"/>
        <w:rPr/>
      </w:pPr>
      <w:r>
        <w:rPr>
          <w:rFonts w:ascii="sans-serif" w:hAnsi="sans-serif"/>
          <w:color w:val="000000"/>
          <w:sz w:val="22"/>
          <w:u w:val="single"/>
        </w:rPr>
        <w:t>Margin Accounts and Pledging</w:t>
      </w:r>
      <w:r>
        <w:rPr>
          <w:rFonts w:ascii="sans-serif" w:hAnsi="sans-serif"/>
          <w:color w:val="000000"/>
          <w:sz w:val="22"/>
        </w:rPr>
        <w:t>. No Covered Person may: (i) use Company Securities as collateral for a margin account, (ii) pledge Company Securities as collateral for a loan, or (iii) modify an existing pledge to include Company Securities.</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Calibri" w:hAnsi="Calibri"/>
          <w:color w:val="000000"/>
          <w:sz w:val="22"/>
        </w:rPr>
      </w:pPr>
      <w:r>
        <w:rPr>
          <w:rFonts w:ascii="Calibri" w:hAnsi="Calibri"/>
          <w:color w:val="000000"/>
          <w:sz w:val="22"/>
        </w:rPr>
        <w:t>E.</w:t>
      </w:r>
    </w:p>
    <w:p>
      <w:pPr>
        <w:pStyle w:val="TextBody"/>
        <w:bidi w:val="0"/>
        <w:spacing w:before="0" w:after="240"/>
        <w:jc w:val="both"/>
        <w:rPr/>
      </w:pPr>
      <w:r>
        <w:rPr>
          <w:rFonts w:ascii="sans-serif" w:hAnsi="sans-serif"/>
          <w:color w:val="000000"/>
          <w:sz w:val="22"/>
          <w:u w:val="single"/>
        </w:rPr>
        <w:t>Securities of Other Companies</w:t>
      </w:r>
      <w:r>
        <w:rPr>
          <w:rFonts w:ascii="sans-serif" w:hAnsi="sans-serif"/>
          <w:color w:val="000000"/>
          <w:sz w:val="22"/>
        </w:rPr>
        <w:t>. The provisions of this Policy also apply to trading in the securities of other companies including customers, suppliers, business partners, peer companies, or industry competitors, if any Covered Person becomes aware of material non-public information relating to such companies in the course of performing his or her duties for the Company.</w:t>
      </w:r>
    </w:p>
    <w:p>
      <w:pPr>
        <w:pStyle w:val="TextBody"/>
        <w:bidi w:val="0"/>
        <w:spacing w:before="0" w:after="240"/>
        <w:jc w:val="left"/>
        <w:rPr>
          <w:rFonts w:ascii="Calibri" w:hAnsi="Calibri"/>
          <w:b/>
          <w:color w:val="000000"/>
          <w:sz w:val="22"/>
        </w:rPr>
      </w:pPr>
      <w:r>
        <w:rPr>
          <w:rFonts w:ascii="Calibri" w:hAnsi="Calibri"/>
          <w:b/>
          <w:color w:val="000000"/>
          <w:sz w:val="22"/>
        </w:rPr>
        <w:t>IV.</w:t>
      </w:r>
    </w:p>
    <w:p>
      <w:pPr>
        <w:pStyle w:val="TextBody"/>
        <w:bidi w:val="0"/>
        <w:spacing w:before="0" w:after="240"/>
        <w:jc w:val="left"/>
        <w:rPr>
          <w:rFonts w:ascii="sans-serif" w:hAnsi="sans-serif"/>
          <w:b/>
          <w:color w:val="000000"/>
          <w:sz w:val="22"/>
        </w:rPr>
      </w:pPr>
      <w:r>
        <w:rPr>
          <w:rFonts w:ascii="sans-serif" w:hAnsi="sans-serif"/>
          <w:b/>
          <w:color w:val="000000"/>
          <w:sz w:val="22"/>
        </w:rPr>
        <w:t>Trading Windows Applicable to All Covered Persons</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sans-serif" w:hAnsi="sans-serif"/>
          <w:color w:val="000000"/>
          <w:sz w:val="22"/>
          <w:u w:val="single"/>
        </w:rPr>
        <w:t>Trading Windows</w:t>
      </w:r>
      <w:r>
        <w:rPr>
          <w:rFonts w:ascii="sans-serif" w:hAnsi="sans-serif"/>
          <w:color w:val="000000"/>
          <w:sz w:val="22"/>
        </w:rPr>
        <w:t>. Covered Persons will only be permitted to enter into transactions with respect to Company Securities during an open trading window. Outside of this time period, no purchases, sales or other transfers of Company Securities are permitted. Covered Persons will be permitted to buy, sell, or otherwise transfer Company Securities only during the period beginning at the open of the market on the second trading day following the day on which the Company publicly releases its annual or quarterly financial results and ending at the close of the market on the tenth day of the third month of each fiscal quarter. It is important to remember that even during an open trading window, Covered Persons are prohibited from buying, selling, or otherwise transferring securities if they are in fact aware of material non-public information related to those securities.</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sans-serif" w:hAnsi="sans-serif"/>
          <w:color w:val="000000"/>
          <w:sz w:val="22"/>
          <w:u w:val="single"/>
        </w:rPr>
        <w:t>Special Trading Blackouts</w:t>
      </w:r>
      <w:r>
        <w:rPr>
          <w:rFonts w:ascii="sans-serif" w:hAnsi="sans-serif"/>
          <w:color w:val="000000"/>
          <w:sz w:val="22"/>
        </w:rPr>
        <w:t>. The Company may restrict trading by Covered Persons even during a trading window as defined above, as circumstances dictate. In such event, the Chief Compliance Officer may notify particular individuals that they should not engage in any transactions involving Company Securities. Such individuals may not disclose this notification or discussion.</w:t>
      </w:r>
    </w:p>
    <w:p>
      <w:pPr>
        <w:pStyle w:val="TextBody"/>
        <w:bidi w:val="0"/>
        <w:spacing w:before="0" w:after="240"/>
        <w:jc w:val="left"/>
        <w:rPr>
          <w:rFonts w:ascii="Calibri" w:hAnsi="Calibri"/>
          <w:b/>
          <w:color w:val="000000"/>
          <w:sz w:val="22"/>
        </w:rPr>
      </w:pPr>
      <w:r>
        <w:rPr>
          <w:rFonts w:ascii="Calibri" w:hAnsi="Calibri"/>
          <w:b/>
          <w:color w:val="000000"/>
          <w:sz w:val="22"/>
        </w:rPr>
        <w:t>V.</w:t>
      </w:r>
    </w:p>
    <w:p>
      <w:pPr>
        <w:pStyle w:val="TextBody"/>
        <w:bidi w:val="0"/>
        <w:spacing w:before="0" w:after="240"/>
        <w:jc w:val="left"/>
        <w:rPr>
          <w:rFonts w:ascii="sans-serif" w:hAnsi="sans-serif"/>
          <w:b/>
          <w:color w:val="000000"/>
          <w:sz w:val="22"/>
        </w:rPr>
      </w:pPr>
      <w:r>
        <w:rPr>
          <w:rFonts w:ascii="sans-serif" w:hAnsi="sans-serif"/>
          <w:b/>
          <w:color w:val="000000"/>
          <w:sz w:val="22"/>
        </w:rPr>
        <w:t>Additional Trading Procedures Applicable to Company Insiders</w:t>
      </w:r>
    </w:p>
    <w:p>
      <w:pPr>
        <w:pStyle w:val="TextBody"/>
        <w:bidi w:val="0"/>
        <w:spacing w:before="0" w:after="240"/>
        <w:jc w:val="both"/>
        <w:rPr>
          <w:rFonts w:ascii="sans-serif" w:hAnsi="sans-serif"/>
          <w:color w:val="000000"/>
          <w:sz w:val="22"/>
        </w:rPr>
      </w:pPr>
      <w:r>
        <w:rPr>
          <w:rFonts w:ascii="sans-serif" w:hAnsi="sans-serif"/>
          <w:color w:val="000000"/>
          <w:sz w:val="22"/>
        </w:rPr>
        <w:t>Company Insiders (as defined below) are subject to and must comply with the following additional trading procedures by virtue of their regular or routine access to material non-public information during the course of their employment or by virtue of their involvement with a project that results in knowledge of material non-public information.</w:t>
      </w:r>
    </w:p>
    <w:p>
      <w:pPr>
        <w:pStyle w:val="TextBody"/>
        <w:bidi w:val="0"/>
        <w:spacing w:before="0" w:after="240"/>
        <w:jc w:val="both"/>
        <w:rPr>
          <w:rFonts w:ascii="Calibri" w:hAnsi="Calibri"/>
          <w:color w:val="000000"/>
          <w:sz w:val="22"/>
        </w:rPr>
      </w:pPr>
      <w:r>
        <w:rPr>
          <w:rFonts w:ascii="Calibri" w:hAnsi="Calibri"/>
          <w:color w:val="000000"/>
          <w:sz w:val="22"/>
        </w:rPr>
        <w:t>A.</w:t>
      </w:r>
    </w:p>
    <w:p>
      <w:pPr>
        <w:pStyle w:val="TextBody"/>
        <w:bidi w:val="0"/>
        <w:spacing w:before="0" w:after="240"/>
        <w:jc w:val="both"/>
        <w:rPr/>
      </w:pPr>
      <w:r>
        <w:rPr>
          <w:rFonts w:ascii="sans-serif" w:hAnsi="sans-serif"/>
          <w:color w:val="000000"/>
          <w:sz w:val="22"/>
          <w:u w:val="single"/>
        </w:rPr>
        <w:t>Pre-Clearance</w:t>
      </w:r>
      <w:r>
        <w:rPr>
          <w:rFonts w:ascii="sans-serif" w:hAnsi="sans-serif"/>
          <w:color w:val="000000"/>
          <w:sz w:val="22"/>
        </w:rPr>
        <w:t xml:space="preserve">. All purchases, sales, and other transfers of Company Securities by Company Insiders (directly or indirectly) must be approved in advance pursuant to the procedures described in </w:t>
      </w:r>
      <w:r>
        <w:rPr>
          <w:rFonts w:ascii="sans-serif" w:hAnsi="sans-serif"/>
          <w:color w:val="000000"/>
          <w:sz w:val="22"/>
          <w:u w:val="single"/>
        </w:rPr>
        <w:t>Schedule A</w:t>
      </w:r>
      <w:r>
        <w:rPr>
          <w:color w:val="000000"/>
        </w:rPr>
        <w:t xml:space="preserve"> </w:t>
      </w:r>
      <w:r>
        <w:rPr>
          <w:rFonts w:ascii="sans-serif" w:hAnsi="sans-serif"/>
          <w:color w:val="000000"/>
          <w:sz w:val="22"/>
        </w:rPr>
        <w:t>hereto. Although the Company will endeavor to clear transactions as quickly as possible, under certain circumstances the clearance procedure may take more extended time. Accordingly, several days should be allowed for the clearance procedure to be completed. After receiving written clearance to engage in a trade, a Company Insider is required to complete the proposed trade within five business days, unless the Company notifies the Company Insider that such clearance must be rescinded earlier.</w:t>
      </w:r>
    </w:p>
    <w:p>
      <w:pPr>
        <w:pStyle w:val="TextBody"/>
        <w:bidi w:val="0"/>
        <w:spacing w:before="0" w:after="240"/>
        <w:jc w:val="both"/>
        <w:rPr>
          <w:rFonts w:ascii="Calibri" w:hAnsi="Calibri"/>
          <w:color w:val="000000"/>
          <w:sz w:val="22"/>
        </w:rPr>
      </w:pPr>
      <w:r>
        <w:rPr>
          <w:rFonts w:ascii="Calibri" w:hAnsi="Calibri"/>
          <w:color w:val="000000"/>
          <w:sz w:val="22"/>
        </w:rPr>
        <w:t>B.</w:t>
      </w:r>
    </w:p>
    <w:p>
      <w:pPr>
        <w:pStyle w:val="TextBody"/>
        <w:bidi w:val="0"/>
        <w:spacing w:before="0" w:after="240"/>
        <w:jc w:val="both"/>
        <w:rPr/>
      </w:pPr>
      <w:r>
        <w:rPr>
          <w:rFonts w:ascii="sans-serif" w:hAnsi="sans-serif"/>
          <w:color w:val="000000"/>
          <w:sz w:val="22"/>
          <w:u w:val="single"/>
        </w:rPr>
        <w:t>Company Insiders</w:t>
      </w:r>
      <w:r>
        <w:rPr>
          <w:rFonts w:ascii="sans-serif" w:hAnsi="sans-serif"/>
          <w:color w:val="000000"/>
          <w:sz w:val="22"/>
        </w:rPr>
        <w:t>. For purposes of the Policy, a “Company Insider” is any Covered Person who has regular access to financial and other material information about the Company and its brands and businesses prior to the time such information is publicly disclosed, and family members of any of the foregoing individuals who live in the same household as such individuals. The names of Company Insiders are maintained on a list kept by the Compliance Team and include:</w:t>
      </w:r>
    </w:p>
    <w:p>
      <w:pPr>
        <w:pStyle w:val="TextBody"/>
        <w:bidi w:val="0"/>
        <w:spacing w:before="0" w:after="240"/>
        <w:jc w:val="both"/>
        <w:rPr/>
      </w:pPr>
      <w:r>
        <w:rPr>
          <w:color w:val="000000"/>
        </w:rPr>
        <w:t xml:space="preserve">⎯ </w:t>
      </w:r>
      <w:r>
        <w:rPr>
          <w:rFonts w:ascii="sans-serif" w:hAnsi="sans-serif"/>
          <w:color w:val="000000"/>
          <w:sz w:val="22"/>
        </w:rPr>
        <w:t>all members of the board of directors and all executive officers of the Company;</w:t>
      </w:r>
    </w:p>
    <w:p>
      <w:pPr>
        <w:pStyle w:val="TextBody"/>
        <w:bidi w:val="0"/>
        <w:spacing w:before="0" w:after="240"/>
        <w:jc w:val="both"/>
        <w:rPr/>
      </w:pPr>
      <w:r>
        <w:rPr>
          <w:color w:val="000000"/>
        </w:rPr>
        <w:t xml:space="preserve">⎯ </w:t>
      </w:r>
      <w:r>
        <w:rPr>
          <w:rFonts w:ascii="sans-serif" w:hAnsi="sans-serif"/>
          <w:color w:val="000000"/>
          <w:sz w:val="22"/>
        </w:rPr>
        <w:t>all members of the executive leadership team and certain persons who report directly to such members; and</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 xml:space="preserve">⎯ </w:t>
      </w:r>
      <w:r>
        <w:rPr>
          <w:rFonts w:ascii="sans-serif" w:hAnsi="sans-serif"/>
          <w:color w:val="000000"/>
          <w:sz w:val="22"/>
        </w:rPr>
        <w:t>other officers, employees and consultants of the Company or its brands or businesses who are advised by or on behalf of the Chief Compliance Officer that they are Company Insiders.</w:t>
      </w:r>
    </w:p>
    <w:p>
      <w:pPr>
        <w:pStyle w:val="TextBody"/>
        <w:bidi w:val="0"/>
        <w:spacing w:before="0" w:after="240"/>
        <w:jc w:val="both"/>
        <w:rPr>
          <w:rFonts w:ascii="sans-serif" w:hAnsi="sans-serif"/>
          <w:color w:val="000000"/>
          <w:sz w:val="22"/>
        </w:rPr>
      </w:pPr>
      <w:r>
        <w:rPr>
          <w:rFonts w:ascii="sans-serif" w:hAnsi="sans-serif"/>
          <w:color w:val="000000"/>
          <w:sz w:val="22"/>
        </w:rPr>
        <w:t>The list of Company Insiders is reviewed and updated periodically. From time to time, individuals not previously identified as Company Insiders may be designated as such without prior notice or consent.</w:t>
      </w:r>
    </w:p>
    <w:p>
      <w:pPr>
        <w:pStyle w:val="TextBody"/>
        <w:bidi w:val="0"/>
        <w:spacing w:before="0" w:after="240"/>
        <w:jc w:val="left"/>
        <w:rPr>
          <w:rFonts w:ascii="Calibri" w:hAnsi="Calibri"/>
          <w:b/>
          <w:color w:val="000000"/>
          <w:sz w:val="22"/>
        </w:rPr>
      </w:pPr>
      <w:r>
        <w:rPr>
          <w:rFonts w:ascii="Calibri" w:hAnsi="Calibri"/>
          <w:b/>
          <w:color w:val="000000"/>
          <w:sz w:val="22"/>
        </w:rPr>
        <w:t>VI.</w:t>
      </w:r>
    </w:p>
    <w:p>
      <w:pPr>
        <w:pStyle w:val="TextBody"/>
        <w:bidi w:val="0"/>
        <w:spacing w:before="0" w:after="240"/>
        <w:jc w:val="left"/>
        <w:rPr>
          <w:rFonts w:ascii="sans-serif" w:hAnsi="sans-serif"/>
          <w:b/>
          <w:color w:val="000000"/>
          <w:sz w:val="22"/>
        </w:rPr>
      </w:pPr>
      <w:r>
        <w:rPr>
          <w:rFonts w:ascii="sans-serif" w:hAnsi="sans-serif"/>
          <w:b/>
          <w:color w:val="000000"/>
          <w:sz w:val="22"/>
        </w:rPr>
        <w:t>Section 16 Reporting</w:t>
      </w:r>
    </w:p>
    <w:p>
      <w:pPr>
        <w:pStyle w:val="TextBody"/>
        <w:bidi w:val="0"/>
        <w:spacing w:before="0" w:after="240"/>
        <w:jc w:val="both"/>
        <w:rPr>
          <w:rFonts w:ascii="Times New Roman" w:hAnsi="Times New Roman"/>
          <w:sz w:val="20"/>
        </w:rPr>
      </w:pPr>
      <w:r>
        <w:rPr>
          <w:rFonts w:ascii="sans-serif" w:hAnsi="sans-serif"/>
          <w:color w:val="000000"/>
          <w:sz w:val="22"/>
        </w:rPr>
        <w:t>Any transactions in Company Securities (including transactions effected pursuant to a Rule 10b5-1 Plan) by a director or officer who is subject to Section 16 of the Securities Exchange Act of 1934, as amended (the “Exchange Act”), shall be reported to the Chief Compliance Officer on the same day in which such a transaction occurs. Compliance with this provision is important given the requirement of Section 16 that these persons generally must report changes in ownership of Company Securities within two business days. The sanctions for noncompliance with this reporting deadline include mandatory disclosure in the Company’s proxy statement for the next annual meeting of stockholders, as well as possible civil or criminal sanctions for chronic or egregious violators. Each report a Section 16 reporting person makes should include the date of the transaction, quantity of shares, price and broker-dealer through which the transaction was effected. This reporting requirement may be satisfied by sending (or having such person’s broker send) duplicate confirmations of trades to the Chief Compliance Officer at tradealert@tripadvisor.com.</w:t>
      </w:r>
      <w:r>
        <w:rPr>
          <w:rFonts w:ascii="Times New Roman" w:hAnsi="Times New Roman"/>
          <w:color w:val="000000"/>
          <w:sz w:val="20"/>
        </w:rPr>
        <w:t xml:space="preserve"> </w:t>
      </w:r>
    </w:p>
    <w:p>
      <w:pPr>
        <w:pStyle w:val="TextBody"/>
        <w:bidi w:val="0"/>
        <w:spacing w:before="0" w:after="240"/>
        <w:jc w:val="left"/>
        <w:rPr>
          <w:rFonts w:ascii="Calibri" w:hAnsi="Calibri"/>
          <w:b/>
          <w:color w:val="000000"/>
          <w:sz w:val="22"/>
        </w:rPr>
      </w:pPr>
      <w:r>
        <w:rPr>
          <w:rFonts w:ascii="Calibri" w:hAnsi="Calibri"/>
          <w:b/>
          <w:color w:val="000000"/>
          <w:sz w:val="22"/>
        </w:rPr>
        <w:t>VII.</w:t>
      </w:r>
    </w:p>
    <w:p>
      <w:pPr>
        <w:pStyle w:val="TextBody"/>
        <w:bidi w:val="0"/>
        <w:spacing w:before="0" w:after="240"/>
        <w:jc w:val="left"/>
        <w:rPr>
          <w:rFonts w:ascii="sans-serif" w:hAnsi="sans-serif"/>
          <w:b/>
          <w:color w:val="000000"/>
          <w:sz w:val="22"/>
        </w:rPr>
      </w:pPr>
      <w:r>
        <w:rPr>
          <w:rFonts w:ascii="sans-serif" w:hAnsi="sans-serif"/>
          <w:b/>
          <w:color w:val="000000"/>
          <w:sz w:val="22"/>
        </w:rPr>
        <w:t>Post-Termination Transactions</w:t>
      </w:r>
    </w:p>
    <w:p>
      <w:pPr>
        <w:pStyle w:val="TextBody"/>
        <w:bidi w:val="0"/>
        <w:spacing w:before="0" w:after="240"/>
        <w:jc w:val="both"/>
        <w:rPr>
          <w:rFonts w:ascii="sans-serif" w:hAnsi="sans-serif"/>
          <w:color w:val="000000"/>
          <w:sz w:val="22"/>
        </w:rPr>
      </w:pPr>
      <w:r>
        <w:rPr>
          <w:rFonts w:ascii="sans-serif" w:hAnsi="sans-serif"/>
          <w:color w:val="000000"/>
          <w:sz w:val="22"/>
        </w:rPr>
        <w:t>Upon termination of service as a director, officer, employee, contractor or consultant of the Company, such Covered Person will continue to be subject to the restrictions on securities trading contained in the securities laws, as well as to the Company’s agreements and practices regarding the safeguarding of confidential information.</w:t>
      </w:r>
    </w:p>
    <w:p>
      <w:pPr>
        <w:pStyle w:val="TextBody"/>
        <w:bidi w:val="0"/>
        <w:spacing w:before="0" w:after="240"/>
        <w:jc w:val="left"/>
        <w:rPr>
          <w:rFonts w:ascii="Calibri" w:hAnsi="Calibri"/>
          <w:b/>
          <w:color w:val="000000"/>
          <w:sz w:val="22"/>
        </w:rPr>
      </w:pPr>
      <w:r>
        <w:rPr>
          <w:rFonts w:ascii="Calibri" w:hAnsi="Calibri"/>
          <w:b/>
          <w:color w:val="000000"/>
          <w:sz w:val="22"/>
        </w:rPr>
        <w:t>VIII.</w:t>
      </w:r>
    </w:p>
    <w:p>
      <w:pPr>
        <w:pStyle w:val="TextBody"/>
        <w:bidi w:val="0"/>
        <w:spacing w:before="0" w:after="240"/>
        <w:jc w:val="left"/>
        <w:rPr>
          <w:rFonts w:ascii="sans-serif" w:hAnsi="sans-serif"/>
          <w:b/>
          <w:color w:val="000000"/>
          <w:sz w:val="22"/>
        </w:rPr>
      </w:pPr>
      <w:r>
        <w:rPr>
          <w:rFonts w:ascii="sans-serif" w:hAnsi="sans-serif"/>
          <w:b/>
          <w:color w:val="000000"/>
          <w:sz w:val="22"/>
        </w:rPr>
        <w:t>Rule 10b5-1 Exemption</w:t>
      </w:r>
    </w:p>
    <w:p>
      <w:pPr>
        <w:pStyle w:val="TextBody"/>
        <w:bidi w:val="0"/>
        <w:spacing w:before="0" w:after="240"/>
        <w:jc w:val="both"/>
        <w:rPr>
          <w:rFonts w:ascii="Times New Roman" w:hAnsi="Times New Roman"/>
          <w:sz w:val="20"/>
        </w:rPr>
      </w:pPr>
      <w:r>
        <w:rPr>
          <w:rFonts w:ascii="sans-serif" w:hAnsi="sans-serif"/>
          <w:color w:val="000000"/>
          <w:sz w:val="22"/>
        </w:rPr>
        <w:t>Rule 10b5-1 of the Exchange Act generally allows a person to trade when aware of material non- public information if the trade was executed pursuant to a plan satisfying the requirements of Rule 10b5-1 and that was established at a time when the person was not aware of such information. Rule 10b5-1 is a complicated rule that requires sophisticated planning (a “Trading Plan”). Trading Plans should not be relied upon without the advice of one’s own legal counsel or personal financial adviser. The adoption, amendment and termination of a Trading Plan must be approved by the Chief Compliance Officer. Trades in Company Securities that are executed pursuant to an approved Trading Plan are not subject to the prohibition on trading on the basis of material non-public information contained in the Policy or to the restrictions set forth above relating to pre-clearance procedures and window periods. A Covered Person may not institute or amend his or her Trading Plan, and deviations from such plan may not be made, at a time when the Covered Person is aware of any material non-public information, or outside of an open trading window. All new or amended Trading Plans must include a cooling-off period, meaning a required waiting period before any trades can be made under the plan, of no less than 90 days for directors and officers and 30 days for all other participants, consistent with SEC requirements. Covered Persons may not maintain multiple or overlapping Trading Plans unless specifically approved by the Chief Compliance Officer. The Chief Compliance Officer may circulate from time to time, upon request of a Covered Person, criteria for clearance of trading plans.</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Directors and executive officers subject to Section 16 of the Exchange Act are required to provide notice to the Chief Compliance Officer of any sale or purchase transaction pursuant to a Trading Plan and such transactions will be disclosed in the Form 4 relating to such transaction. In accordance with the SEC rules, the Company will include in its quarterly disclosures legally required disclosures regarding the directors and executive officers subject to Section 16 of the Exchange Act that have adopted and terminated a Trading Plan, such disclosure to include the identity of such person and a description of the material terms of such Trading Plan.</w:t>
      </w:r>
    </w:p>
    <w:p>
      <w:pPr>
        <w:pStyle w:val="TextBody"/>
        <w:bidi w:val="0"/>
        <w:spacing w:before="0" w:after="240"/>
        <w:jc w:val="left"/>
        <w:rPr>
          <w:rFonts w:ascii="Calibri" w:hAnsi="Calibri"/>
          <w:b/>
          <w:color w:val="000000"/>
          <w:sz w:val="22"/>
        </w:rPr>
      </w:pPr>
      <w:r>
        <w:rPr>
          <w:rFonts w:ascii="Calibri" w:hAnsi="Calibri"/>
          <w:b/>
          <w:color w:val="000000"/>
          <w:sz w:val="22"/>
        </w:rPr>
        <w:t>IX.</w:t>
      </w:r>
    </w:p>
    <w:p>
      <w:pPr>
        <w:pStyle w:val="TextBody"/>
        <w:bidi w:val="0"/>
        <w:spacing w:before="0" w:after="240"/>
        <w:jc w:val="left"/>
        <w:rPr>
          <w:rFonts w:ascii="sans-serif" w:hAnsi="sans-serif"/>
          <w:b/>
          <w:color w:val="000000"/>
          <w:sz w:val="22"/>
        </w:rPr>
      </w:pPr>
      <w:r>
        <w:rPr>
          <w:rFonts w:ascii="sans-serif" w:hAnsi="sans-serif"/>
          <w:b/>
          <w:color w:val="000000"/>
          <w:sz w:val="22"/>
        </w:rPr>
        <w:t>Waivers</w:t>
      </w:r>
    </w:p>
    <w:p>
      <w:pPr>
        <w:pStyle w:val="TextBody"/>
        <w:bidi w:val="0"/>
        <w:spacing w:before="0" w:after="240"/>
        <w:jc w:val="both"/>
        <w:rPr>
          <w:rFonts w:ascii="sans-serif" w:hAnsi="sans-serif"/>
          <w:color w:val="000000"/>
          <w:sz w:val="22"/>
        </w:rPr>
      </w:pPr>
      <w:r>
        <w:rPr>
          <w:rFonts w:ascii="sans-serif" w:hAnsi="sans-serif"/>
          <w:color w:val="000000"/>
          <w:sz w:val="22"/>
        </w:rPr>
        <w:t>A waiver of any provision of this Policy (including the trading policies and trading procedures outlined above) for executive officers or directors of the Company may only be authorized by the Audit Committee of the Board of Directors, and any such waiver shall be reported to the Company’s Board of Directors. A waiver of any provision of this Policy (including the trading policies and trading procedures outlined above) for any other Covered Person must be authorized by the Chief Compliance Officer.</w:t>
      </w:r>
    </w:p>
    <w:p>
      <w:pPr>
        <w:pStyle w:val="TextBody"/>
        <w:bidi w:val="0"/>
        <w:spacing w:before="0" w:after="240"/>
        <w:jc w:val="left"/>
        <w:rPr>
          <w:rFonts w:ascii="Calibri" w:hAnsi="Calibri"/>
          <w:b/>
          <w:color w:val="000000"/>
          <w:sz w:val="22"/>
        </w:rPr>
      </w:pPr>
      <w:r>
        <w:rPr>
          <w:rFonts w:ascii="Calibri" w:hAnsi="Calibri"/>
          <w:b/>
          <w:color w:val="000000"/>
          <w:sz w:val="22"/>
        </w:rPr>
        <w:t>X.</w:t>
      </w:r>
    </w:p>
    <w:p>
      <w:pPr>
        <w:pStyle w:val="TextBody"/>
        <w:bidi w:val="0"/>
        <w:spacing w:before="0" w:after="240"/>
        <w:jc w:val="left"/>
        <w:rPr>
          <w:rFonts w:ascii="sans-serif" w:hAnsi="sans-serif"/>
          <w:b/>
          <w:color w:val="000000"/>
          <w:sz w:val="22"/>
        </w:rPr>
      </w:pPr>
      <w:r>
        <w:rPr>
          <w:rFonts w:ascii="sans-serif" w:hAnsi="sans-serif"/>
          <w:b/>
          <w:color w:val="000000"/>
          <w:sz w:val="22"/>
        </w:rPr>
        <w:t>Penalties for Insider Trading</w:t>
      </w:r>
    </w:p>
    <w:p>
      <w:pPr>
        <w:pStyle w:val="TextBody"/>
        <w:bidi w:val="0"/>
        <w:spacing w:before="0" w:after="240"/>
        <w:jc w:val="both"/>
        <w:rPr>
          <w:rFonts w:ascii="sans-serif" w:hAnsi="sans-serif"/>
          <w:color w:val="000000"/>
          <w:sz w:val="22"/>
        </w:rPr>
      </w:pPr>
      <w:r>
        <w:rPr>
          <w:rFonts w:ascii="sans-serif" w:hAnsi="sans-serif"/>
          <w:color w:val="000000"/>
          <w:sz w:val="22"/>
        </w:rPr>
        <w:t>Penalties for trading on or communicating material non-public information are severe and may be applied against the individual involved in unlawful conduct, as well as against the Company, controlling persons of the Company and/or the supervisors of the person engaged in insider trading. A person can be subject to some, or all of the penalties noted below even if such person does not personally benefit from the violation. Penalties include:</w:t>
      </w:r>
    </w:p>
    <w:p>
      <w:pPr>
        <w:pStyle w:val="TextBody"/>
        <w:bidi w:val="0"/>
        <w:jc w:val="both"/>
        <w:rPr/>
      </w:pPr>
      <w:r>
        <w:rPr>
          <w:color w:val="000000"/>
        </w:rPr>
        <w:t xml:space="preserve">▪ </w:t>
      </w:r>
      <w:r>
        <w:rPr>
          <w:rFonts w:ascii="sans-serif" w:hAnsi="sans-serif"/>
          <w:color w:val="000000"/>
          <w:sz w:val="22"/>
        </w:rPr>
        <w:t>civil injunctions;</w:t>
      </w:r>
    </w:p>
    <w:p>
      <w:pPr>
        <w:pStyle w:val="TextBody"/>
        <w:bidi w:val="0"/>
        <w:jc w:val="both"/>
        <w:rPr/>
      </w:pPr>
      <w:r>
        <w:rPr>
          <w:color w:val="000000"/>
        </w:rPr>
        <w:t xml:space="preserve">▪ </w:t>
      </w:r>
      <w:r>
        <w:rPr>
          <w:rFonts w:ascii="sans-serif" w:hAnsi="sans-serif"/>
          <w:color w:val="000000"/>
          <w:sz w:val="22"/>
        </w:rPr>
        <w:t>disgorgement of profits gained, or losses avoided by the trading;</w:t>
      </w:r>
    </w:p>
    <w:p>
      <w:pPr>
        <w:pStyle w:val="TextBody"/>
        <w:bidi w:val="0"/>
        <w:jc w:val="both"/>
        <w:rPr/>
      </w:pPr>
      <w:r>
        <w:rPr>
          <w:color w:val="000000"/>
        </w:rPr>
        <w:t xml:space="preserve">▪ </w:t>
      </w:r>
      <w:r>
        <w:rPr>
          <w:rFonts w:ascii="sans-serif" w:hAnsi="sans-serif"/>
          <w:color w:val="000000"/>
          <w:sz w:val="22"/>
        </w:rPr>
        <w:t>imprisonment; and</w:t>
      </w:r>
    </w:p>
    <w:p>
      <w:pPr>
        <w:pStyle w:val="TextBody"/>
        <w:bidi w:val="0"/>
        <w:spacing w:before="0" w:after="120"/>
        <w:jc w:val="both"/>
        <w:rPr/>
      </w:pPr>
      <w:r>
        <w:rPr>
          <w:color w:val="000000"/>
        </w:rPr>
        <w:t xml:space="preserve">▪ </w:t>
      </w:r>
      <w:r>
        <w:rPr>
          <w:rFonts w:ascii="sans-serif" w:hAnsi="sans-serif"/>
          <w:color w:val="000000"/>
          <w:sz w:val="22"/>
        </w:rPr>
        <w:t>criminal and civil monetary penalties.</w:t>
      </w:r>
    </w:p>
    <w:p>
      <w:pPr>
        <w:pStyle w:val="TextBody"/>
        <w:bidi w:val="0"/>
        <w:spacing w:before="0" w:after="240"/>
        <w:jc w:val="left"/>
        <w:rPr>
          <w:rFonts w:ascii="Calibri" w:hAnsi="Calibri"/>
          <w:b/>
          <w:color w:val="000000"/>
          <w:sz w:val="22"/>
        </w:rPr>
      </w:pPr>
      <w:r>
        <w:rPr>
          <w:rFonts w:ascii="Calibri" w:hAnsi="Calibri"/>
          <w:b/>
          <w:color w:val="000000"/>
          <w:sz w:val="22"/>
        </w:rPr>
        <w:t>XI.</w:t>
      </w:r>
    </w:p>
    <w:p>
      <w:pPr>
        <w:pStyle w:val="TextBody"/>
        <w:bidi w:val="0"/>
        <w:spacing w:before="0" w:after="240"/>
        <w:jc w:val="left"/>
        <w:rPr>
          <w:rFonts w:ascii="sans-serif" w:hAnsi="sans-serif"/>
          <w:b/>
          <w:color w:val="000000"/>
          <w:sz w:val="22"/>
        </w:rPr>
      </w:pPr>
      <w:r>
        <w:rPr>
          <w:rFonts w:ascii="sans-serif" w:hAnsi="sans-serif"/>
          <w:b/>
          <w:color w:val="000000"/>
          <w:sz w:val="22"/>
        </w:rPr>
        <w:t>Modification and Interpretation</w:t>
      </w:r>
    </w:p>
    <w:p>
      <w:pPr>
        <w:pStyle w:val="TextBody"/>
        <w:bidi w:val="0"/>
        <w:spacing w:before="0" w:after="240"/>
        <w:jc w:val="both"/>
        <w:rPr>
          <w:rFonts w:ascii="Times New Roman" w:hAnsi="Times New Roman"/>
          <w:sz w:val="20"/>
        </w:rPr>
      </w:pPr>
      <w:r>
        <w:rPr>
          <w:rFonts w:ascii="sans-serif" w:hAnsi="sans-serif"/>
          <w:color w:val="000000"/>
          <w:sz w:val="22"/>
        </w:rPr>
        <w:t>The Company reserves the right to modify, discontinue or replace this Policy or any terms of the Policy at any time, with or without notice. In the event of a conflict between this Policy and applicable law, applicable law will prevail.</w:t>
      </w:r>
      <w:r>
        <w:rPr>
          <w:rFonts w:ascii="Times New Roman" w:hAnsi="Times New Roman"/>
          <w:color w:val="000000"/>
          <w:sz w:val="20"/>
        </w:rPr>
        <w:t xml:space="preserve"> </w:t>
      </w:r>
    </w:p>
    <w:p>
      <w:pPr>
        <w:pStyle w:val="TextBody"/>
        <w:bidi w:val="0"/>
        <w:spacing w:before="0" w:after="240"/>
        <w:jc w:val="left"/>
        <w:rPr>
          <w:rFonts w:ascii="Calibri" w:hAnsi="Calibri"/>
          <w:b/>
          <w:color w:val="000000"/>
          <w:sz w:val="22"/>
        </w:rPr>
      </w:pPr>
      <w:r>
        <w:rPr>
          <w:rFonts w:ascii="Calibri" w:hAnsi="Calibri"/>
          <w:b/>
          <w:color w:val="000000"/>
          <w:sz w:val="22"/>
        </w:rPr>
        <w:t>XII.</w:t>
      </w:r>
    </w:p>
    <w:p>
      <w:pPr>
        <w:pStyle w:val="TextBody"/>
        <w:bidi w:val="0"/>
        <w:spacing w:before="0" w:after="240"/>
        <w:jc w:val="left"/>
        <w:rPr>
          <w:rFonts w:ascii="sans-serif" w:hAnsi="sans-serif"/>
          <w:b/>
          <w:color w:val="000000"/>
          <w:sz w:val="22"/>
        </w:rPr>
      </w:pPr>
      <w:r>
        <w:rPr>
          <w:rFonts w:ascii="sans-serif" w:hAnsi="sans-serif"/>
          <w:b/>
          <w:color w:val="000000"/>
          <w:sz w:val="22"/>
        </w:rPr>
        <w:t>Enforcement</w:t>
      </w:r>
    </w:p>
    <w:p>
      <w:pPr>
        <w:pStyle w:val="TextBody"/>
        <w:bidi w:val="0"/>
        <w:spacing w:before="0" w:after="240"/>
        <w:jc w:val="both"/>
        <w:rPr>
          <w:rFonts w:ascii="sans-serif" w:hAnsi="sans-serif"/>
          <w:color w:val="000000"/>
          <w:sz w:val="22"/>
        </w:rPr>
      </w:pPr>
      <w:r>
        <w:rPr>
          <w:rFonts w:ascii="sans-serif" w:hAnsi="sans-serif"/>
          <w:color w:val="000000"/>
          <w:sz w:val="22"/>
        </w:rPr>
        <w:t>Any alleged or actual violation of this Policy (a “Violation”) shall be treated as a serious matter and must be immediately reported to the Compliance Team. The Compliance Team shall investigate the facts and circumstances surrounding any and all alleged Violations. In addition, any Violation can be expected to result in serious sanctions by the Company, including dismissal, suspension without pay, loss of pay or bonus, loss of benefits, demotion, or other sanctions, whether or not the violation of Company policy or procedure also constituted a violation of law.</w:t>
      </w:r>
    </w:p>
    <w:p>
      <w:pPr>
        <w:pStyle w:val="TextBody"/>
        <w:bidi w:val="0"/>
        <w:spacing w:before="0" w:after="240"/>
        <w:jc w:val="left"/>
        <w:rPr>
          <w:rFonts w:ascii="Calibri" w:hAnsi="Calibri"/>
          <w:b/>
          <w:color w:val="000000"/>
          <w:sz w:val="22"/>
        </w:rPr>
      </w:pPr>
      <w:r>
        <w:rPr>
          <w:rFonts w:ascii="Calibri" w:hAnsi="Calibri"/>
          <w:b/>
          <w:color w:val="000000"/>
          <w:sz w:val="22"/>
        </w:rPr>
        <w:t>XIII.</w:t>
      </w:r>
    </w:p>
    <w:p>
      <w:pPr>
        <w:pStyle w:val="TextBody"/>
        <w:bidi w:val="0"/>
        <w:spacing w:before="0" w:after="240"/>
        <w:jc w:val="left"/>
        <w:rPr>
          <w:rFonts w:ascii="sans-serif" w:hAnsi="sans-serif"/>
          <w:b/>
          <w:color w:val="000000"/>
          <w:sz w:val="22"/>
        </w:rPr>
      </w:pPr>
      <w:r>
        <w:rPr>
          <w:rFonts w:ascii="sans-serif" w:hAnsi="sans-serif"/>
          <w:b/>
          <w:color w:val="000000"/>
          <w:sz w:val="22"/>
        </w:rPr>
        <w:t>Administration</w:t>
      </w:r>
    </w:p>
    <w:p>
      <w:pPr>
        <w:pStyle w:val="TextBody"/>
        <w:bidi w:val="0"/>
        <w:spacing w:before="0" w:after="240"/>
        <w:jc w:val="both"/>
        <w:rPr>
          <w:rFonts w:ascii="Times New Roman" w:hAnsi="Times New Roman"/>
          <w:sz w:val="20"/>
        </w:rPr>
      </w:pPr>
      <w:r>
        <w:rPr>
          <w:rFonts w:ascii="sans-serif" w:hAnsi="sans-serif"/>
          <w:color w:val="000000"/>
          <w:sz w:val="22"/>
        </w:rPr>
        <w:t>The Compliance Committee shall have primary responsibility for the administration of this Policy, working with the appropriate members of other departments. This Policy shall be disseminated to key personnel responsible for administration promptly following its adoption and from time to time thereafter</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sans-serif" w:hAnsi="sans-serif"/>
          <w:color w:val="000000"/>
          <w:sz w:val="22"/>
        </w:rPr>
      </w:pPr>
      <w:r>
        <w:rPr>
          <w:rFonts w:ascii="sans-serif" w:hAnsi="sans-serif"/>
          <w:color w:val="000000"/>
          <w:sz w:val="22"/>
        </w:rPr>
        <w:t>as Company management shall deem appropriate. If you have any questions regarding a particular securities transaction, or the Policy generally, please do not hesitate to contact the Compliance Team at compliance@tripadvisor.com.</w:t>
      </w:r>
    </w:p>
    <w:p>
      <w:pPr>
        <w:pStyle w:val="TextBody"/>
        <w:bidi w:val="0"/>
        <w:jc w:val="center"/>
        <w:rPr>
          <w:rFonts w:ascii="sans-serif" w:hAnsi="sans-serif"/>
          <w:color w:val="000000"/>
          <w:sz w:val="22"/>
        </w:rPr>
      </w:pPr>
      <w:r>
        <w:rPr>
          <w:rFonts w:ascii="sans-serif" w:hAnsi="sans-serif"/>
          <w:color w:val="000000"/>
          <w:sz w:val="22"/>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Schedule A</w:t>
      </w:r>
    </w:p>
    <w:p>
      <w:pPr>
        <w:pStyle w:val="TextBody"/>
        <w:bidi w:val="0"/>
        <w:spacing w:before="0" w:after="240"/>
        <w:jc w:val="center"/>
        <w:rPr>
          <w:rFonts w:ascii="sans-serif" w:hAnsi="sans-serif"/>
          <w:b/>
          <w:color w:val="000000"/>
          <w:sz w:val="22"/>
        </w:rPr>
      </w:pPr>
      <w:r>
        <w:rPr>
          <w:rFonts w:ascii="sans-serif" w:hAnsi="sans-serif"/>
          <w:b/>
          <w:color w:val="000000"/>
          <w:sz w:val="22"/>
        </w:rPr>
        <w:t>PRE-CLEARANCE PROCEDURES FOR COMPANY INSIDERS</w:t>
      </w:r>
    </w:p>
    <w:p>
      <w:pPr>
        <w:pStyle w:val="TextBody"/>
        <w:bidi w:val="0"/>
        <w:spacing w:before="0" w:after="240"/>
        <w:jc w:val="both"/>
        <w:rPr>
          <w:rFonts w:ascii="sans-serif" w:hAnsi="sans-serif"/>
          <w:color w:val="000000"/>
          <w:sz w:val="22"/>
        </w:rPr>
      </w:pPr>
      <w:r>
        <w:rPr>
          <w:rFonts w:ascii="sans-serif" w:hAnsi="sans-serif"/>
          <w:color w:val="000000"/>
          <w:sz w:val="22"/>
        </w:rPr>
        <w:t>No Company Insider may trade in Company Securities until:</w:t>
      </w:r>
    </w:p>
    <w:p>
      <w:pPr>
        <w:pStyle w:val="TextBody"/>
        <w:bidi w:val="0"/>
        <w:spacing w:before="0" w:after="240"/>
        <w:jc w:val="both"/>
        <w:rPr/>
      </w:pPr>
      <w:r>
        <w:rPr>
          <w:color w:val="000000"/>
        </w:rPr>
        <w:t xml:space="preserve">∙ </w:t>
      </w:r>
      <w:r>
        <w:rPr>
          <w:rFonts w:ascii="sans-serif" w:hAnsi="sans-serif"/>
          <w:color w:val="000000"/>
          <w:sz w:val="22"/>
        </w:rPr>
        <w:t>The Company Insider has notified the Chief Compliance Officer of the Company’s Insider’s intention to trade in Company Securities by submitting a trade request via email to tradealert@tripadvisor.com;</w:t>
      </w:r>
    </w:p>
    <w:p>
      <w:pPr>
        <w:pStyle w:val="TextBody"/>
        <w:bidi w:val="0"/>
        <w:spacing w:before="0" w:after="240"/>
        <w:jc w:val="both"/>
        <w:rPr/>
      </w:pPr>
      <w:r>
        <w:rPr>
          <w:color w:val="000000"/>
        </w:rPr>
        <w:t xml:space="preserve">∙ </w:t>
      </w:r>
      <w:r>
        <w:rPr>
          <w:rFonts w:ascii="sans-serif" w:hAnsi="sans-serif"/>
          <w:color w:val="000000"/>
          <w:sz w:val="22"/>
        </w:rPr>
        <w:t>The Company Insider has determined that: (a) the Company Insider is not in possession of material, nonpublic information concerning the Company; and (b) to the Company Insider’s best knowledge, the proposed trade(s) complies with all applicable laws and regulations; and</w:t>
      </w:r>
    </w:p>
    <w:p>
      <w:pPr>
        <w:pStyle w:val="TextBody"/>
        <w:bidi w:val="0"/>
        <w:spacing w:before="0" w:after="240"/>
        <w:jc w:val="both"/>
        <w:rPr/>
      </w:pPr>
      <w:r>
        <w:rPr>
          <w:color w:val="000000"/>
        </w:rPr>
        <w:t xml:space="preserve">∙ </w:t>
      </w:r>
      <w:r>
        <w:rPr>
          <w:rFonts w:ascii="sans-serif" w:hAnsi="sans-serif"/>
          <w:color w:val="000000"/>
          <w:sz w:val="22"/>
        </w:rPr>
        <w:t>The Chief Compliance Officer has approved the trade request. The Chief Compliance Officer will endeavor to provide written clearance as soon as practicable. If possible, a trade request should be sent at least two business days prior to the intended trade date. After receiving written clearance to engage in a trade (“Clearance”), a Company Insider shall complete the proposed trade within five business days. If he or she deems it necessary, the Chief Compliance Officer may rescind a Clearance by written notice to the Company Insider, which notice may be by electronic mail. If an approved trade request is not executed within five business days following the date of Clearance, the Company Insider must submit a new trade request pursuant to the procedures outlined above.</w:t>
      </w:r>
    </w:p>
    <w:p>
      <w:pPr>
        <w:pStyle w:val="TextBody"/>
        <w:bidi w:val="0"/>
        <w:spacing w:before="0" w:after="240"/>
        <w:jc w:val="both"/>
        <w:rPr>
          <w:rFonts w:ascii="sans-serif" w:hAnsi="sans-serif"/>
          <w:color w:val="000000"/>
          <w:sz w:val="22"/>
        </w:rPr>
      </w:pPr>
      <w:r>
        <w:rPr>
          <w:rFonts w:ascii="sans-serif" w:hAnsi="sans-serif"/>
          <w:color w:val="000000"/>
          <w:sz w:val="22"/>
        </w:rPr>
        <w:t>The Chief Compliance Officer does not assume the responsibility for, and approval from the Chief Compliance Officer does not protect the Company Insider from the consequences of prohibited insider trading.</w:t>
      </w:r>
    </w:p>
    <w:p>
      <w:pPr>
        <w:pStyle w:val="TextBody"/>
        <w:bidi w:val="0"/>
        <w:spacing w:before="0" w:after="240"/>
        <w:jc w:val="both"/>
        <w:rPr>
          <w:rFonts w:ascii="sans-serif" w:hAnsi="sans-serif"/>
          <w:color w:val="000000"/>
          <w:sz w:val="22"/>
        </w:rPr>
      </w:pPr>
      <w:r>
        <w:rPr>
          <w:rFonts w:ascii="sans-serif" w:hAnsi="sans-serif"/>
          <w:color w:val="000000"/>
          <w:sz w:val="22"/>
        </w:rPr>
        <w:t>Company Insiders shall provide to the Chief Compliance Officer any documentation reasonably requested by him or her in furtherance of the foregoing procedures. Any failure to provide such requested information will be grounds for denial of approval by the Chief Compliance Officer. In addition, at his or her discretion, the Chief Compliance Officer may also discuss a Company Insider’s proposed trade with the Company Insider’s manager or department head in order to inquire as to the existence of any material non-public information that the Company Insider may have or have access to.</w:t>
      </w:r>
    </w:p>
    <w:p>
      <w:pPr>
        <w:pStyle w:val="TextBody"/>
        <w:bidi w:val="0"/>
        <w:spacing w:before="0" w:after="240"/>
        <w:jc w:val="both"/>
        <w:rPr>
          <w:rFonts w:ascii="sans-serif" w:hAnsi="sans-serif"/>
          <w:color w:val="000000"/>
          <w:sz w:val="22"/>
        </w:rPr>
      </w:pPr>
      <w:r>
        <w:rPr>
          <w:rFonts w:ascii="sans-serif" w:hAnsi="sans-serif"/>
          <w:color w:val="000000"/>
          <w:sz w:val="22"/>
        </w:rPr>
        <w:t>The existence of the foregoing approval procedures does not in any way obligate the Chief Compliance Officer to approve any trade requested by a Company Insider. The Chief Compliance Officer may reject any trading request at his or her sole discretion. From time to time, an event may occur that is material to the Company and is known by only a few directors or executives. So long as the event remains material and non-public, the Chief Compliance Officer may determine not to approve any transactions in the Company’s securities. If a Company Insider requests clearance to trade in the Company’s securities during the pendency of such an event, the Chief Compliance Officer may reject the trading request without disclosing the reason.</w:t>
      </w:r>
    </w:p>
    <w:p>
      <w:pPr>
        <w:pStyle w:val="TextBody"/>
        <w:bidi w:val="0"/>
        <w:jc w:val="center"/>
        <w:rPr>
          <w:rFonts w:ascii="sans-serif" w:hAnsi="sans-serif"/>
          <w:color w:val="000000"/>
          <w:sz w:val="22"/>
        </w:rPr>
      </w:pPr>
      <w:r>
        <w:rPr>
          <w:rFonts w:ascii="sans-serif" w:hAnsi="sans-serif"/>
          <w:color w:val="000000"/>
          <w:sz w:val="22"/>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trip-ex21_1.htm"/>
      <w:bookmarkStart w:id="46" w:name="kstripex21_1"/>
      <w:bookmarkEnd w:id="45"/>
      <w:bookmarkEnd w:id="4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21.1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Subsidiaries of the Registrant</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b/>
          <w:color w:val="000000"/>
          <w:sz w:val="20"/>
        </w:rPr>
        <w:t>DOMESTIC</w:t>
      </w:r>
      <w:r>
        <w:rPr>
          <w:rFonts w:ascii="Times New Roman" w:hAnsi="Times New Roman"/>
          <w:color w:val="000000"/>
          <w:sz w:val="20"/>
        </w:rPr>
        <w:t xml:space="preserve"> </w:t>
      </w:r>
    </w:p>
    <w:tbl>
      <w:tblPr>
        <w:tblW w:w="5248" w:type="dxa"/>
        <w:jc w:val="left"/>
        <w:tblInd w:w="0" w:type="dxa"/>
        <w:tblLayout w:type="fixed"/>
        <w:tblCellMar>
          <w:top w:w="28" w:type="dxa"/>
          <w:left w:w="28" w:type="dxa"/>
          <w:bottom w:w="28" w:type="dxa"/>
          <w:right w:w="28" w:type="dxa"/>
        </w:tblCellMar>
      </w:tblPr>
      <w:tblGrid>
        <w:gridCol w:w="3721"/>
        <w:gridCol w:w="146"/>
        <w:gridCol w:w="138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372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rFonts w:ascii="Times New Roman" w:hAnsi="Times New Roman"/>
                <w:b/>
                <w:color w:val="000000"/>
                <w:sz w:val="20"/>
              </w:rPr>
            </w:pPr>
            <w:r>
              <w:rPr>
                <w:rFonts w:ascii="Times New Roman" w:hAnsi="Times New Roman"/>
                <w:b/>
                <w:color w:val="000000"/>
                <w:sz w:val="20"/>
              </w:rPr>
              <w:t>Entity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Jurisdiction of</w:t>
            </w:r>
          </w:p>
          <w:p>
            <w:pPr>
              <w:pStyle w:val="TableContents"/>
              <w:bidi w:val="0"/>
              <w:spacing w:before="0" w:after="283"/>
              <w:ind w:left="0" w:right="0" w:firstLine="245"/>
              <w:jc w:val="center"/>
              <w:rPr>
                <w:rFonts w:ascii="Times New Roman" w:hAnsi="Times New Roman"/>
                <w:b/>
                <w:color w:val="000000"/>
                <w:sz w:val="20"/>
              </w:rPr>
            </w:pPr>
            <w:r>
              <w:rPr>
                <w:rFonts w:ascii="Times New Roman" w:hAnsi="Times New Roman"/>
                <w:b/>
                <w:color w:val="000000"/>
                <w:sz w:val="20"/>
              </w:rPr>
              <w:t>Formation</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TellurideSub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Liberty BSI,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 xml:space="preserve">Liberty Tripadvisor, LLC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TripAdvisor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MA</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TripAdvisor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FlipKey,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TAMG Ventures 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Viator,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The Independent Traveler,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NJ</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APAC Holdings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color w:val="000000"/>
              </w:rPr>
            </w:pPr>
            <w:r>
              <w:rPr>
                <w:color w:val="000000"/>
              </w:rPr>
              <w:t>     </w:t>
            </w:r>
            <w:r>
              <w:rPr>
                <w:rFonts w:ascii="Times New Roman" w:hAnsi="Times New Roman"/>
                <w:color w:val="000000"/>
                <w:sz w:val="20"/>
              </w:rPr>
              <w:t>TripAdvisor GP1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color w:val="000000"/>
              </w:rPr>
            </w:pPr>
            <w:r>
              <w:rPr>
                <w:color w:val="000000"/>
              </w:rPr>
              <w:t>     </w:t>
            </w:r>
            <w:r>
              <w:rPr>
                <w:rFonts w:ascii="Times New Roman" w:hAnsi="Times New Roman"/>
                <w:color w:val="000000"/>
                <w:sz w:val="20"/>
              </w:rPr>
              <w:t>TripAdvisor GP2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color w:val="000000"/>
              </w:rPr>
            </w:pPr>
            <w:r>
              <w:rPr>
                <w:color w:val="000000"/>
              </w:rPr>
              <w:t>     </w:t>
            </w:r>
            <w:r>
              <w:rPr>
                <w:rFonts w:ascii="Times New Roman" w:hAnsi="Times New Roman"/>
                <w:color w:val="000000"/>
                <w:sz w:val="20"/>
              </w:rPr>
              <w:t>TripAdvisor Finance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color w:val="000000"/>
              </w:rPr>
            </w:pPr>
            <w:r>
              <w:rPr>
                <w:color w:val="000000"/>
              </w:rPr>
              <w:t>     </w:t>
            </w:r>
            <w:r>
              <w:rPr>
                <w:rFonts w:ascii="Times New Roman" w:hAnsi="Times New Roman"/>
                <w:color w:val="000000"/>
                <w:sz w:val="20"/>
              </w:rPr>
              <w:t>TripAdvisor LP2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color w:val="000000"/>
              </w:rPr>
            </w:pPr>
            <w:r>
              <w:rPr>
                <w:color w:val="000000"/>
              </w:rPr>
              <w:t>     </w:t>
            </w:r>
            <w:r>
              <w:rPr>
                <w:rFonts w:ascii="Times New Roman" w:hAnsi="Times New Roman"/>
                <w:color w:val="000000"/>
                <w:sz w:val="20"/>
              </w:rPr>
              <w:t>Restorando,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Securities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MA</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SinglePlatform,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DE</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Owl Analytics,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NV</w:t>
            </w:r>
          </w:p>
        </w:tc>
      </w:tr>
      <w:tr>
        <w:trPr/>
        <w:tc>
          <w:tcPr>
            <w:tcW w:w="3721"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Bokun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color w:val="000000"/>
          <w:sz w:val="20"/>
        </w:rPr>
        <w:t>INTERNATIONAL</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343"/>
        <w:gridCol w:w="392"/>
        <w:gridCol w:w="2470"/>
      </w:tblGrid>
      <w:tr>
        <w:trPr/>
        <w:tc>
          <w:tcPr>
            <w:tcW w:w="734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ind w:left="0" w:right="0" w:firstLine="246"/>
              <w:jc w:val="left"/>
              <w:rPr>
                <w:sz w:val="4"/>
                <w:szCs w:val="4"/>
              </w:rPr>
            </w:pPr>
            <w:r>
              <w:rPr>
                <w:sz w:val="4"/>
                <w:szCs w:val="4"/>
              </w:rPr>
            </w:r>
          </w:p>
        </w:tc>
      </w:tr>
      <w:tr>
        <w:trPr/>
        <w:tc>
          <w:tcPr>
            <w:tcW w:w="7343" w:type="dxa"/>
            <w:tcBorders>
              <w:bottom w:val="single" w:sz="4" w:space="0" w:color="000000"/>
            </w:tcBorders>
            <w:tcMar>
              <w:top w:w="0" w:type="dxa"/>
              <w:left w:w="0" w:type="dxa"/>
              <w:right w:w="0" w:type="dxa"/>
            </w:tcMar>
            <w:vAlign w:val="center"/>
          </w:tcPr>
          <w:p>
            <w:pPr>
              <w:pStyle w:val="TableContents"/>
              <w:bidi w:val="0"/>
              <w:spacing w:before="0" w:after="283"/>
              <w:ind w:left="0" w:right="0" w:firstLine="246"/>
              <w:jc w:val="left"/>
              <w:rPr>
                <w:rFonts w:ascii="Times New Roman" w:hAnsi="Times New Roman"/>
                <w:b/>
                <w:color w:val="000000"/>
                <w:sz w:val="20"/>
              </w:rPr>
            </w:pPr>
            <w:r>
              <w:rPr>
                <w:rFonts w:ascii="Times New Roman" w:hAnsi="Times New Roman"/>
                <w:b/>
                <w:color w:val="000000"/>
                <w:sz w:val="20"/>
              </w:rPr>
              <w:t>Entity</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6"/>
              <w:jc w:val="left"/>
              <w:rPr/>
            </w:pPr>
            <w:r>
              <w:rPr/>
              <w:t> </w:t>
            </w:r>
          </w:p>
        </w:tc>
        <w:tc>
          <w:tcPr>
            <w:tcW w:w="2470" w:type="dxa"/>
            <w:tcBorders>
              <w:bottom w:val="single" w:sz="4" w:space="0" w:color="000000"/>
            </w:tcBorders>
            <w:tcMar>
              <w:top w:w="0" w:type="dxa"/>
              <w:left w:w="0" w:type="dxa"/>
              <w:right w:w="0" w:type="dxa"/>
            </w:tcMar>
            <w:vAlign w:val="center"/>
          </w:tcPr>
          <w:p>
            <w:pPr>
              <w:pStyle w:val="TableContents"/>
              <w:bidi w:val="0"/>
              <w:ind w:left="0" w:right="0" w:firstLine="246"/>
              <w:jc w:val="center"/>
              <w:rPr>
                <w:rFonts w:ascii="Times New Roman" w:hAnsi="Times New Roman"/>
                <w:b/>
                <w:color w:val="000000"/>
                <w:sz w:val="20"/>
              </w:rPr>
            </w:pPr>
            <w:r>
              <w:rPr>
                <w:rFonts w:ascii="Times New Roman" w:hAnsi="Times New Roman"/>
                <w:b/>
                <w:color w:val="000000"/>
                <w:sz w:val="20"/>
              </w:rPr>
              <w:t>Jurisdiction of</w:t>
            </w:r>
          </w:p>
          <w:p>
            <w:pPr>
              <w:pStyle w:val="TableContents"/>
              <w:bidi w:val="0"/>
              <w:spacing w:before="0" w:after="283"/>
              <w:ind w:left="0" w:right="0" w:firstLine="246"/>
              <w:jc w:val="center"/>
              <w:rPr>
                <w:rFonts w:ascii="Times New Roman" w:hAnsi="Times New Roman"/>
                <w:b/>
                <w:color w:val="000000"/>
                <w:sz w:val="20"/>
              </w:rPr>
            </w:pPr>
            <w:r>
              <w:rPr>
                <w:rFonts w:ascii="Times New Roman" w:hAnsi="Times New Roman"/>
                <w:b/>
                <w:color w:val="000000"/>
                <w:sz w:val="20"/>
              </w:rPr>
              <w:t>Formation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TripAdvisor UK1 LP</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TripAdvisor UK2 LP</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Bokun ehf</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Iceland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Viator Systems Pty Limited</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sz w:val="4"/>
                <w:szCs w:val="4"/>
              </w:rPr>
            </w:pPr>
            <w:r>
              <w:rPr>
                <w:sz w:val="4"/>
                <w:szCs w:val="4"/>
              </w:rPr>
            </w:r>
          </w:p>
        </w:tc>
        <w:tc>
          <w:tcPr>
            <w:tcW w:w="2470"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Australia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Viator Netherlands B.V.</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The Netherlands</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6"/>
              <w:jc w:val="left"/>
              <w:rPr>
                <w:rFonts w:ascii="Times New Roman" w:hAnsi="Times New Roman"/>
                <w:color w:val="000000"/>
                <w:sz w:val="20"/>
              </w:rPr>
            </w:pPr>
            <w:r>
              <w:rPr>
                <w:rFonts w:ascii="Times New Roman" w:hAnsi="Times New Roman"/>
                <w:color w:val="000000"/>
                <w:sz w:val="20"/>
              </w:rPr>
              <w:t>Viator Limited</w:t>
            </w:r>
          </w:p>
        </w:tc>
        <w:tc>
          <w:tcPr>
            <w:tcW w:w="392"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Canada Corp.</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Canada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Travel India Private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India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Cayman Holdings II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Cayman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Lerumar SA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Uruguay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Restorando SPA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Chile</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TripAdvisor UK Holdco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LF Holdings (France) SAS</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France</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TA LF Australia Pty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Australia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Dimmi Pty Ltd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Australia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 Fourchette (UK) Ltd.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 Fourchette (Belgium) SA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Belgium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 Fourchette SAS</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France</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 Fourchette Espana S.L.</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Spain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Restorando SA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Argentina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LaFourchette Swiss SA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Switzerland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 Fourchette Netherlands B.V.</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The Netherlands</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IENS Independent Index B.V.</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The Netherlands</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LaFourchette (Italy) SRL</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Italy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Livebookings Holdings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Livebookings AG</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Switzerland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Bookatable GmbH &amp; Co KG</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Germany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Bookatable Verwaltungs GmbH</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Germany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Bookatable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LaFourchette Sweden AB</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Sweden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BestTables II Portugal, Unipessoal Lda.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Portugal</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imes New Roman" w:hAnsi="Times New Roman"/>
                <w:color w:val="000000"/>
                <w:sz w:val="20"/>
              </w:rPr>
              <w:t>Owl Payments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 </w:t>
            </w:r>
            <w:r>
              <w:rPr>
                <w:rFonts w:ascii="Times New Roman" w:hAnsi="Times New Roman"/>
                <w:color w:val="000000"/>
                <w:sz w:val="20"/>
              </w:rPr>
              <w:t>TripAdvisor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 xml:space="preserve">Holiday Lettings (Holdings) Ltd.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 xml:space="preserve">Holiday Lettings Ltd.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United Kingdom</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HouseTrip SA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Switzerland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Australia Pty. Ltd.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Australia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GmbH</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Germany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France SAS</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France</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Italy Srl</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Italy</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Spain S.L.</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Spain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 xml:space="preserve">Guia de Apartamentos Niumba, S.L.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Spain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TA Innovation Services Romania S.R.L.</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Romania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TripAdvisor Portugal, Unipessoal Lda</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Portugal</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TripAdvisor Ireland Ltd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Ireland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Owl Payments Europe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Ireland</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TA Innovations Croatia d.o.o.</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Croatia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TripAdvisor K.K.</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Japan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TripAdvisor Singapore Private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Singapore</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Hong Kong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Hong Kong</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735"/>
              <w:jc w:val="left"/>
              <w:rPr>
                <w:rFonts w:ascii="Times New Roman" w:hAnsi="Times New Roman"/>
                <w:color w:val="000000"/>
                <w:sz w:val="20"/>
              </w:rPr>
            </w:pPr>
            <w:r>
              <w:rPr>
                <w:rFonts w:ascii="Times New Roman" w:hAnsi="Times New Roman"/>
                <w:color w:val="000000"/>
                <w:sz w:val="20"/>
              </w:rPr>
              <w:t>TripAdvisor China Cayman Holdings Limited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Cayman</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979"/>
              <w:jc w:val="left"/>
              <w:rPr>
                <w:rFonts w:ascii="Times New Roman" w:hAnsi="Times New Roman"/>
                <w:color w:val="000000"/>
                <w:sz w:val="20"/>
              </w:rPr>
            </w:pPr>
            <w:r>
              <w:rPr>
                <w:rFonts w:ascii="Times New Roman" w:hAnsi="Times New Roman"/>
                <w:color w:val="000000"/>
                <w:sz w:val="20"/>
              </w:rPr>
              <w:t>TripAdvisor Consulting Service (Beijing) Co. Ltd</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1224"/>
              <w:jc w:val="left"/>
              <w:rPr>
                <w:rFonts w:ascii="Times New Roman" w:hAnsi="Times New Roman"/>
                <w:color w:val="000000"/>
                <w:sz w:val="20"/>
              </w:rPr>
            </w:pPr>
            <w:r>
              <w:rPr>
                <w:rFonts w:ascii="Times New Roman" w:hAnsi="Times New Roman"/>
                <w:color w:val="000000"/>
                <w:sz w:val="20"/>
              </w:rPr>
              <w:t>China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1224"/>
              <w:jc w:val="left"/>
              <w:rPr>
                <w:rFonts w:ascii="Times New Roman" w:hAnsi="Times New Roman"/>
                <w:color w:val="000000"/>
                <w:sz w:val="20"/>
              </w:rPr>
            </w:pPr>
            <w:r>
              <w:rPr>
                <w:rFonts w:ascii="Times New Roman" w:hAnsi="Times New Roman"/>
                <w:color w:val="000000"/>
                <w:sz w:val="20"/>
              </w:rPr>
              <w:t>Tuqu Net Information Technology (Beijing) Co., Ltd. (beneficial ownership)</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ind w:left="0" w:right="0" w:firstLine="1224"/>
              <w:jc w:val="left"/>
              <w:rPr>
                <w:rFonts w:ascii="Times New Roman" w:hAnsi="Times New Roman"/>
                <w:color w:val="000000"/>
                <w:sz w:val="20"/>
              </w:rPr>
            </w:pPr>
            <w:r>
              <w:rPr>
                <w:rFonts w:ascii="Times New Roman" w:hAnsi="Times New Roman"/>
                <w:color w:val="000000"/>
                <w:sz w:val="20"/>
              </w:rPr>
              <w:t>China</w:t>
            </w:r>
          </w:p>
        </w:tc>
      </w:tr>
      <w:tr>
        <w:trPr/>
        <w:tc>
          <w:tcPr>
            <w:tcW w:w="7343" w:type="dxa"/>
            <w:tcBorders/>
            <w:tcMar>
              <w:top w:w="0" w:type="dxa"/>
              <w:left w:w="0" w:type="dxa"/>
              <w:bottom w:w="0" w:type="dxa"/>
              <w:right w:w="0" w:type="dxa"/>
            </w:tcMar>
            <w:vAlign w:val="center"/>
          </w:tcPr>
          <w:p>
            <w:pPr>
              <w:pStyle w:val="TableContents"/>
              <w:bidi w:val="0"/>
              <w:spacing w:before="0" w:after="283"/>
              <w:ind w:left="0" w:right="0" w:firstLine="1224"/>
              <w:jc w:val="left"/>
              <w:rPr>
                <w:rFonts w:ascii="Times New Roman" w:hAnsi="Times New Roman"/>
                <w:color w:val="000000"/>
                <w:sz w:val="20"/>
              </w:rPr>
            </w:pPr>
            <w:r>
              <w:rPr>
                <w:rFonts w:ascii="Times New Roman" w:hAnsi="Times New Roman"/>
                <w:color w:val="000000"/>
                <w:sz w:val="20"/>
              </w:rPr>
              <w:t>Beijing Tuqu Business Consulting Co., Ltd. (beneficial ownership)</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24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47" w:name="trip-ex23_1.htm"/>
      <w:bookmarkStart w:id="48" w:name="kstripex23_1"/>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 333-260877, 333</w:t>
        <w:noBreakHyphen/>
        <w:t>178637, 333-190384, 333-198726, 333-226749, and 333-273738) on Form S-8 of our report dated February 13, 2026, with respect to the consolidated financial statements of Tripadvisor, Inc. and the effectiveness of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13, 2026</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9" w:name="trip-ex31_1.htm"/>
      <w:bookmarkStart w:id="50" w:name="kstripex31_1"/>
      <w:bookmarkEnd w:id="49"/>
      <w:bookmarkEnd w:id="50"/>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Matt Goldberg, Chief Executive Officer and President of Tripadvisor, Inc.,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Tripadvisor,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634" w:type="dxa"/>
        <w:jc w:val="left"/>
        <w:tblInd w:w="0" w:type="dxa"/>
        <w:tblLayout w:type="fixed"/>
        <w:tblCellMar>
          <w:top w:w="28" w:type="dxa"/>
          <w:left w:w="28" w:type="dxa"/>
          <w:bottom w:w="28" w:type="dxa"/>
          <w:right w:w="28" w:type="dxa"/>
        </w:tblCellMar>
      </w:tblPr>
      <w:tblGrid>
        <w:gridCol w:w="2086"/>
        <w:gridCol w:w="146"/>
        <w:gridCol w:w="301"/>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1" w:name="trip-ex31_2.htm"/>
      <w:bookmarkStart w:id="52" w:name="kstripex31_2"/>
      <w:bookmarkEnd w:id="51"/>
      <w:bookmarkEnd w:id="52"/>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Noonan, Chief Financial Officer of Tripadvisor, Inc.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Tripadvisor,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844" w:type="dxa"/>
        <w:jc w:val="left"/>
        <w:tblInd w:w="0" w:type="dxa"/>
        <w:tblLayout w:type="fixed"/>
        <w:tblCellMar>
          <w:top w:w="28" w:type="dxa"/>
          <w:left w:w="28" w:type="dxa"/>
          <w:bottom w:w="28" w:type="dxa"/>
          <w:right w:w="28" w:type="dxa"/>
        </w:tblCellMar>
      </w:tblPr>
      <w:tblGrid>
        <w:gridCol w:w="2326"/>
        <w:gridCol w:w="146"/>
        <w:gridCol w:w="301"/>
        <w:gridCol w:w="207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February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3" w:name="trip-ex32_1.htm"/>
      <w:bookmarkStart w:id="54" w:name="kstripex32_1"/>
      <w:bookmarkEnd w:id="53"/>
      <w:bookmarkEnd w:id="5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Tripadvisor, Inc. (the “Company”) for the year ended December 31, 2025, as filed with the Securities and Exchange Commission on the date hereof (the “Report”), I, Matt Goldberg, Chief Executive Officer and President of the Company, certify, pursuant to Section 906 of the Sarbanes-Oxley Act of 2002, 18 U.S.C. Section 1350,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which this statement accompanies fully complies with the requirements of Section 13(a) or 15(d)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4251" w:type="dxa"/>
        <w:jc w:val="left"/>
        <w:tblInd w:w="0" w:type="dxa"/>
        <w:tblLayout w:type="fixed"/>
        <w:tblCellMar>
          <w:top w:w="28" w:type="dxa"/>
          <w:left w:w="28" w:type="dxa"/>
          <w:bottom w:w="28" w:type="dxa"/>
          <w:right w:w="28" w:type="dxa"/>
        </w:tblCellMar>
      </w:tblPr>
      <w:tblGrid>
        <w:gridCol w:w="2086"/>
        <w:gridCol w:w="109"/>
        <w:gridCol w:w="205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MATT GOLDBERG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 Goldberg</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5" w:name="trip-ex32_2.htm"/>
      <w:bookmarkStart w:id="56" w:name="kstripex32_2"/>
      <w:bookmarkEnd w:id="55"/>
      <w:bookmarkEnd w:id="56"/>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Tripadvisor, Inc. (the “Company”) for the year ended December 31, 2025, as filed with the Securities and Exchange Commission on the date hereof (the “Report”), I, Michael Noonan, Chief Financial Officer of the Company, certify, pursuant to Section 906 of the Sarbanes-Oxley Act of 2002, 18 U.S.C. Section 1350,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which this statement accompanies fully complies with the requirements of Section 13(a) or 15(d)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4326" w:type="dxa"/>
        <w:jc w:val="left"/>
        <w:tblInd w:w="0" w:type="dxa"/>
        <w:tblLayout w:type="fixed"/>
        <w:tblCellMar>
          <w:top w:w="28" w:type="dxa"/>
          <w:left w:w="28" w:type="dxa"/>
          <w:bottom w:w="28" w:type="dxa"/>
          <w:right w:w="28" w:type="dxa"/>
        </w:tblCellMar>
      </w:tblPr>
      <w:tblGrid>
        <w:gridCol w:w="2086"/>
        <w:gridCol w:w="109"/>
        <w:gridCol w:w="21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Date: February 13,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NOONAN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Noonan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26520/000110465924129977/tm2431470d1_ex2-1.htm" TargetMode="External"/><Relationship Id="rId4" Type="http://schemas.openxmlformats.org/officeDocument/2006/relationships/hyperlink" Target="https://www.sec.gov/Archives/edgar/data/1526520/000110465925041251/tm2513424d1_ex2-2.htm" TargetMode="External"/><Relationship Id="rId5" Type="http://schemas.openxmlformats.org/officeDocument/2006/relationships/hyperlink" Target="https://www.sec.gov/Archives/edgar/data/1526520/000119312511352247/d270719dex31.htm" TargetMode="External"/><Relationship Id="rId6" Type="http://schemas.openxmlformats.org/officeDocument/2006/relationships/hyperlink" Target="https://www.sec.gov/Archives/edgar/data/1526520/000095017025064982/trip-ex3_2.htm" TargetMode="External"/><Relationship Id="rId7" Type="http://schemas.openxmlformats.org/officeDocument/2006/relationships/hyperlink" Target="https://www.sec.gov/Archives/edgar/data/1526520/000156459020032136/trip-ex41_15.htm" TargetMode="External"/><Relationship Id="rId8" Type="http://schemas.openxmlformats.org/officeDocument/2006/relationships/hyperlink" Target="https://www.sec.gov/Archives/edgar/data/1526520/000156459020032136/trip-ex41_15.htm" TargetMode="External"/><Relationship Id="rId9" Type="http://schemas.openxmlformats.org/officeDocument/2006/relationships/hyperlink" Target="https://www.sec.gov/Archives/edgar/data/1526520/000156459021015566/trip-ex41_32.htm" TargetMode="External"/><Relationship Id="rId10" Type="http://schemas.openxmlformats.org/officeDocument/2006/relationships/hyperlink" Target="https://www.sec.gov/Archives/edgar/data/1526520/000156459021015566/trip-ex41_32.htm" TargetMode="External"/><Relationship Id="rId11" Type="http://schemas.openxmlformats.org/officeDocument/2006/relationships/hyperlink" Target="https://www.sec.gov/Archives/edgar/data/1526520/000119312511352247/d270719dex102.htm" TargetMode="External"/><Relationship Id="rId12" Type="http://schemas.openxmlformats.org/officeDocument/2006/relationships/hyperlink" Target="https://www.sec.gov/Archives/edgar/data/1526520/000095017025104993/trip-ex10_9.htm" TargetMode="External"/><Relationship Id="rId13" Type="http://schemas.openxmlformats.org/officeDocument/2006/relationships/hyperlink" Target="https://www.sec.gov/Archives/edgar/data/1526520/000119312513300521/d548543dex101.htm" TargetMode="External"/><Relationship Id="rId14" Type="http://schemas.openxmlformats.org/officeDocument/2006/relationships/hyperlink" Target="https://www.sec.gov/Archives/edgar/data/1526520/000119312513300521/d548543dex102.htm" TargetMode="External"/><Relationship Id="rId15" Type="http://schemas.openxmlformats.org/officeDocument/2006/relationships/hyperlink" Target="https://www.sec.gov/Archives/edgar/data/1526520/000119312513300521/d548543dex102.htm" TargetMode="External"/><Relationship Id="rId16" Type="http://schemas.openxmlformats.org/officeDocument/2006/relationships/hyperlink" Target="https://www.sec.gov/Archives/edgar/data/1526520/000095017023031999/trip-ex10_1.htm" TargetMode="External"/><Relationship Id="rId17" Type="http://schemas.openxmlformats.org/officeDocument/2006/relationships/hyperlink" Target="https://www.sec.gov/Archives/edgar/data/1526520/000095017024082086/trip-ex10_1.htm" TargetMode="External"/><Relationship Id="rId18" Type="http://schemas.openxmlformats.org/officeDocument/2006/relationships/hyperlink" Target="https://www.sec.gov/Archives/edgar/data/1526520/000095017025104993/trip-ex10_10.htm" TargetMode="External"/><Relationship Id="rId19" Type="http://schemas.openxmlformats.org/officeDocument/2006/relationships/hyperlink" Target="https://www.sec.gov/Archives/edgar/data/1526520/000156459021024945/trip-ex102_94.htm" TargetMode="External"/><Relationship Id="rId20" Type="http://schemas.openxmlformats.org/officeDocument/2006/relationships/hyperlink" Target="https://www.sec.gov/Archives/edgar/data/1526520/000156459021024945/trip-ex103_95.htm" TargetMode="External"/><Relationship Id="rId21" Type="http://schemas.openxmlformats.org/officeDocument/2006/relationships/hyperlink" Target="https://www.sec.gov/Archives/edgar/data/1526520/000095017025104993/trip-ex10_2.htm" TargetMode="External"/><Relationship Id="rId22" Type="http://schemas.openxmlformats.org/officeDocument/2006/relationships/hyperlink" Target="https://www.sec.gov/Archives/edgar/data/1526520/000095017025104993/trip-ex10_3.htm" TargetMode="External"/><Relationship Id="rId23" Type="http://schemas.openxmlformats.org/officeDocument/2006/relationships/hyperlink" Target="https://www.sec.gov/Archives/edgar/data/1526520/000095017025104993/trip-ex10_4.htm" TargetMode="External"/><Relationship Id="rId24" Type="http://schemas.openxmlformats.org/officeDocument/2006/relationships/hyperlink" Target="https://www.sec.gov/Archives/edgar/data/1526520/000095017025104993/trip-ex10_5.htm" TargetMode="External"/><Relationship Id="rId25" Type="http://schemas.openxmlformats.org/officeDocument/2006/relationships/hyperlink" Target="https://www.sec.gov/Archives/edgar/data/1526520/000095017025104993/trip-ex10_6.htm" TargetMode="External"/><Relationship Id="rId26" Type="http://schemas.openxmlformats.org/officeDocument/2006/relationships/hyperlink" Target="https://www.sec.gov/Archives/edgar/data/1526520/000095017025104993/trip-ex10_7.htm" TargetMode="External"/><Relationship Id="rId27" Type="http://schemas.openxmlformats.org/officeDocument/2006/relationships/hyperlink" Target="https://www.sec.gov/Archives/edgar/data/1526520/000095017025104993/trip-ex10_8.htm" TargetMode="External"/><Relationship Id="rId28" Type="http://schemas.openxmlformats.org/officeDocument/2006/relationships/hyperlink" Target="https://www.sec.gov/Archives/edgar/data/1526520/000156459021024945/trip-ex107_91.htm" TargetMode="External"/><Relationship Id="rId29" Type="http://schemas.openxmlformats.org/officeDocument/2006/relationships/hyperlink" Target="https://www.sec.gov/Archives/edgar/data/1526520/000156459021015566/trip-ex101_18.htm" TargetMode="External"/><Relationship Id="rId30" Type="http://schemas.openxmlformats.org/officeDocument/2006/relationships/hyperlink" Target="https://www.sec.gov/Archives/edgar/data/1526520/000095017022007372/trip-ex10_1.htm" TargetMode="External"/><Relationship Id="rId31" Type="http://schemas.openxmlformats.org/officeDocument/2006/relationships/hyperlink" Target="https://www.sec.gov/Archives/edgar/data/1526520/000119312522260671/d412345dex101.htm" TargetMode="External"/><Relationship Id="rId32" Type="http://schemas.openxmlformats.org/officeDocument/2006/relationships/hyperlink" Target="https://www.sec.gov/Archives/edgar/data/1526520/000119312522260671/d412345dex101.htm" TargetMode="External"/><Relationship Id="rId33" Type="http://schemas.openxmlformats.org/officeDocument/2006/relationships/hyperlink" Target="https://www.sec.gov/Archives/edgar/data/1526520/000095017024016553/trip-ex10_21.htm" TargetMode="External"/><Relationship Id="rId34" Type="http://schemas.openxmlformats.org/officeDocument/2006/relationships/hyperlink" Target="https://www.sec.gov/Archives/edgar/data/1526520/000119312525059381/d901984dex991.htm" TargetMode="External"/><Relationship Id="rId35" Type="http://schemas.openxmlformats.org/officeDocument/2006/relationships/hyperlink" Target="https://www.sec.gov/Archives/edgar/data/1526520/000119312525060271/d904469dex991.htm" TargetMode="External"/><Relationship Id="rId36" Type="http://schemas.openxmlformats.org/officeDocument/2006/relationships/hyperlink" Target="https://www.sec.gov/Archives/edgar/data/1526520/000095017025104993/trip-ex10_1.htm" TargetMode="External"/><Relationship Id="rId37" Type="http://schemas.openxmlformats.org/officeDocument/2006/relationships/hyperlink" Target="https://www.sec.gov/Archives/edgar/data/1526520/000095017024016553/trip-ex97_1.htm" TargetMode="External"/><Relationship Id="rId38" Type="http://schemas.openxmlformats.org/officeDocument/2006/relationships/image" Target="media/image2.gif"/><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83302</Words>
  <Characters>460498</Characters>
  <CharactersWithSpaces>547596</CharactersWithSpaces>
  <Paragraphs>14311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